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90ADC" w14:textId="77777777" w:rsidR="00915417" w:rsidRDefault="00915417" w:rsidP="00E62EF9">
      <w:pPr>
        <w:pBdr>
          <w:top w:val="nil"/>
          <w:left w:val="nil"/>
          <w:bottom w:val="nil"/>
          <w:right w:val="nil"/>
          <w:between w:val="nil"/>
          <w:bar w:val="nil"/>
        </w:pBdr>
        <w:tabs>
          <w:tab w:val="left" w:pos="2127"/>
        </w:tabs>
        <w:ind w:left="2127"/>
        <w:jc w:val="both"/>
        <w:rPr>
          <w:rFonts w:eastAsia="Arial Unicode MS" w:cs="Arial Unicode MS"/>
          <w:color w:val="000000"/>
          <w:sz w:val="20"/>
          <w:szCs w:val="20"/>
          <w:u w:color="000000"/>
          <w:bdr w:val="nil"/>
        </w:rPr>
      </w:pPr>
      <w:bookmarkStart w:id="0" w:name="_Hlk97660673"/>
      <w:r>
        <w:rPr>
          <w:rFonts w:eastAsia="Arial Unicode MS" w:cs="Arial Unicode MS"/>
          <w:color w:val="000000"/>
          <w:sz w:val="20"/>
          <w:szCs w:val="20"/>
          <w:u w:color="000000"/>
          <w:bdr w:val="nil"/>
        </w:rPr>
        <w:tab/>
        <w:t xml:space="preserve">  </w:t>
      </w:r>
    </w:p>
    <w:p w14:paraId="73919DAA" w14:textId="77777777" w:rsidR="00915417" w:rsidRDefault="00915417" w:rsidP="00E62EF9">
      <w:pPr>
        <w:pBdr>
          <w:top w:val="nil"/>
          <w:left w:val="nil"/>
          <w:bottom w:val="nil"/>
          <w:right w:val="nil"/>
          <w:between w:val="nil"/>
          <w:bar w:val="nil"/>
        </w:pBdr>
        <w:tabs>
          <w:tab w:val="left" w:pos="2127"/>
        </w:tabs>
        <w:ind w:left="2127"/>
        <w:jc w:val="both"/>
        <w:rPr>
          <w:rFonts w:eastAsia="Arial Unicode MS" w:cs="Arial Unicode MS"/>
          <w:color w:val="000000"/>
          <w:sz w:val="20"/>
          <w:szCs w:val="20"/>
          <w:u w:color="000000"/>
          <w:bdr w:val="nil"/>
        </w:rPr>
      </w:pPr>
    </w:p>
    <w:bookmarkEnd w:id="0"/>
    <w:p w14:paraId="7AAA0CEE" w14:textId="4B6D7C20" w:rsidR="00E62EF9" w:rsidRDefault="00E62EF9" w:rsidP="00E62EF9">
      <w:pPr>
        <w:ind w:left="2127" w:right="-568"/>
        <w:jc w:val="both"/>
        <w:rPr>
          <w:i/>
          <w:iCs/>
        </w:rPr>
      </w:pPr>
      <w:r>
        <w:rPr>
          <w:i/>
          <w:iCs/>
        </w:rPr>
        <w:t>C</w:t>
      </w:r>
      <w:r w:rsidRPr="006D68CF">
        <w:rPr>
          <w:i/>
          <w:iCs/>
        </w:rPr>
        <w:t>omunicato stampa n. 25/24</w:t>
      </w:r>
    </w:p>
    <w:p w14:paraId="68BEFBA6" w14:textId="77777777" w:rsidR="00E62EF9" w:rsidRPr="006D68CF" w:rsidRDefault="00E62EF9" w:rsidP="00E62EF9">
      <w:pPr>
        <w:ind w:left="2127" w:right="-568"/>
        <w:jc w:val="both"/>
        <w:rPr>
          <w:i/>
          <w:iCs/>
          <w:sz w:val="10"/>
          <w:szCs w:val="10"/>
        </w:rPr>
      </w:pPr>
    </w:p>
    <w:p w14:paraId="01C8EC72" w14:textId="77777777" w:rsidR="00E62EF9" w:rsidRDefault="00E62EF9" w:rsidP="00E62EF9">
      <w:pPr>
        <w:ind w:left="2127" w:right="-568"/>
        <w:jc w:val="both"/>
        <w:rPr>
          <w:b/>
          <w:bCs/>
          <w:sz w:val="26"/>
          <w:szCs w:val="26"/>
        </w:rPr>
      </w:pPr>
      <w:r w:rsidRPr="003B7256">
        <w:rPr>
          <w:b/>
          <w:bCs/>
          <w:sz w:val="26"/>
          <w:szCs w:val="26"/>
        </w:rPr>
        <w:t>Macchine agricole: i mercati emergenti del Sud-est asiatico e dell’Africa</w:t>
      </w:r>
    </w:p>
    <w:p w14:paraId="0942851B" w14:textId="77777777" w:rsidR="003B7256" w:rsidRPr="003B7256" w:rsidRDefault="003B7256" w:rsidP="00E62EF9">
      <w:pPr>
        <w:ind w:left="2127" w:right="-568"/>
        <w:jc w:val="both"/>
        <w:rPr>
          <w:b/>
          <w:bCs/>
          <w:sz w:val="26"/>
          <w:szCs w:val="26"/>
        </w:rPr>
      </w:pPr>
    </w:p>
    <w:p w14:paraId="30691F1E" w14:textId="77777777" w:rsidR="00E62EF9" w:rsidRPr="00E62EF9" w:rsidRDefault="00E62EF9" w:rsidP="00E62EF9">
      <w:pPr>
        <w:ind w:left="2127" w:right="-568"/>
        <w:jc w:val="both"/>
        <w:rPr>
          <w:b/>
          <w:bCs/>
          <w:i/>
          <w:iCs/>
          <w:sz w:val="23"/>
          <w:szCs w:val="23"/>
        </w:rPr>
      </w:pPr>
      <w:r w:rsidRPr="00E62EF9">
        <w:rPr>
          <w:b/>
          <w:bCs/>
          <w:i/>
          <w:iCs/>
          <w:sz w:val="23"/>
          <w:szCs w:val="23"/>
        </w:rPr>
        <w:t>Nei prossimi anni la geografia dei mercati vedrà ancora in primo piano Europa e Nordamerica, ma un ruolo crescente avranno Paesi come l’Indonesia, il Vietnam, le Filippine e la Thailandia, che già oggi registrano una crescita delle importazioni di macchinario specifico. L’incremento demografico - all’origine di questa crescente domanda di tecnologie per l’agricoltura - sarà determinante anche in Africa, a partire da Nigeria, Etiopia e Repubblica Democratica del Congo.</w:t>
      </w:r>
    </w:p>
    <w:p w14:paraId="4BDB913F" w14:textId="77777777" w:rsidR="00E62EF9" w:rsidRPr="00E8404C" w:rsidRDefault="00E62EF9" w:rsidP="00E62EF9">
      <w:pPr>
        <w:ind w:left="2127" w:right="-568"/>
        <w:jc w:val="both"/>
        <w:rPr>
          <w:b/>
          <w:bCs/>
          <w:i/>
          <w:iCs/>
          <w:sz w:val="10"/>
          <w:szCs w:val="10"/>
        </w:rPr>
      </w:pPr>
    </w:p>
    <w:p w14:paraId="41600570" w14:textId="77777777" w:rsidR="00E62EF9" w:rsidRPr="00E8404C" w:rsidRDefault="00E62EF9" w:rsidP="00E62EF9">
      <w:pPr>
        <w:ind w:left="2127" w:right="-568"/>
        <w:jc w:val="both"/>
        <w:rPr>
          <w:sz w:val="23"/>
          <w:szCs w:val="23"/>
        </w:rPr>
      </w:pPr>
      <w:r w:rsidRPr="00E8404C">
        <w:rPr>
          <w:sz w:val="23"/>
          <w:szCs w:val="23"/>
        </w:rPr>
        <w:t>Il settore delle macchine agricole è destinato a crescere in modo consistente nei prossimi anni, ma cambierà la geografia dei mercati. Le grandi piazz</w:t>
      </w:r>
      <w:r>
        <w:rPr>
          <w:sz w:val="23"/>
          <w:szCs w:val="23"/>
        </w:rPr>
        <w:t>e</w:t>
      </w:r>
      <w:r w:rsidRPr="00E8404C">
        <w:rPr>
          <w:sz w:val="23"/>
          <w:szCs w:val="23"/>
        </w:rPr>
        <w:t xml:space="preserve"> dell’Europa e del Nordamerica manterranno un alto livello di investimenti per garantire standard qualitativi elevati, e i due colossi asiatici India e Cina tenderanno a stabilizzare la meccanizzazione sui grossi quantitativi raggiunti in questi anni, ma i mercati emergenti saranno quelli del Sud Est Asiatico e dell’Africa. Questo lo scenario descritto questo pomeriggio a Bologna nella conferenza di presentazione di EIMA International, la rassegna mondiale della meccanica agricola, in scena </w:t>
      </w:r>
      <w:r>
        <w:rPr>
          <w:sz w:val="23"/>
          <w:szCs w:val="23"/>
        </w:rPr>
        <w:t xml:space="preserve">al quartiere fieristico cittadino </w:t>
      </w:r>
      <w:r w:rsidRPr="00E8404C">
        <w:rPr>
          <w:sz w:val="23"/>
          <w:szCs w:val="23"/>
        </w:rPr>
        <w:t>da domani 6 novembre fino a domenica 10.</w:t>
      </w:r>
    </w:p>
    <w:p w14:paraId="1BBD7494" w14:textId="77777777" w:rsidR="00E62EF9" w:rsidRPr="00E8404C" w:rsidRDefault="00E62EF9" w:rsidP="00E62EF9">
      <w:pPr>
        <w:ind w:left="2127" w:right="-568"/>
        <w:jc w:val="both"/>
        <w:rPr>
          <w:sz w:val="23"/>
          <w:szCs w:val="23"/>
        </w:rPr>
      </w:pPr>
      <w:r w:rsidRPr="00E8404C">
        <w:rPr>
          <w:sz w:val="23"/>
          <w:szCs w:val="23"/>
        </w:rPr>
        <w:t xml:space="preserve">La domanda di macchinario agricolo è destinata a crescere in modo molto consistente </w:t>
      </w:r>
      <w:r>
        <w:rPr>
          <w:sz w:val="23"/>
          <w:szCs w:val="23"/>
        </w:rPr>
        <w:t>-</w:t>
      </w:r>
      <w:r w:rsidRPr="00E8404C">
        <w:rPr>
          <w:sz w:val="23"/>
          <w:szCs w:val="23"/>
        </w:rPr>
        <w:t xml:space="preserve"> è stato spiegato nel corso della conferenza dalla Presidente di FederUnacoma Mariateresa Maschio - in quelle regioni del mondo nelle quali si registra un forte sviluppo dell’agricoltura a causa della crescita demografica, e quindi sono necessarie dotazioni tecnologiche molto maggiori di quelle attuali.  </w:t>
      </w:r>
    </w:p>
    <w:p w14:paraId="4E2E11E7" w14:textId="77777777" w:rsidR="00E62EF9" w:rsidRPr="00E8404C" w:rsidRDefault="00E62EF9" w:rsidP="00E62EF9">
      <w:pPr>
        <w:ind w:left="2127" w:right="-568"/>
        <w:jc w:val="both"/>
        <w:rPr>
          <w:sz w:val="23"/>
          <w:szCs w:val="23"/>
        </w:rPr>
      </w:pPr>
      <w:r w:rsidRPr="00E8404C">
        <w:rPr>
          <w:sz w:val="23"/>
          <w:szCs w:val="23"/>
        </w:rPr>
        <w:t xml:space="preserve">Un Paese chiave </w:t>
      </w:r>
      <w:r>
        <w:rPr>
          <w:sz w:val="23"/>
          <w:szCs w:val="23"/>
        </w:rPr>
        <w:t>-</w:t>
      </w:r>
      <w:r w:rsidRPr="00E8404C">
        <w:rPr>
          <w:sz w:val="23"/>
          <w:szCs w:val="23"/>
        </w:rPr>
        <w:t xml:space="preserve"> è stato </w:t>
      </w:r>
      <w:r>
        <w:rPr>
          <w:sz w:val="23"/>
          <w:szCs w:val="23"/>
        </w:rPr>
        <w:t xml:space="preserve">illustrato </w:t>
      </w:r>
      <w:r w:rsidRPr="00E8404C">
        <w:rPr>
          <w:sz w:val="23"/>
          <w:szCs w:val="23"/>
        </w:rPr>
        <w:t>in conferenza - è l’Indonesia, che già oggi conta quasi 300 milioni di abitanti segnalandosi come uno dei più popolosi al mondo e destinato ad incrementare ulteriormente il proprio peso demografico nei prossimi anni. In Indonesia le importazioni di macchine agricole sono in crescita costante da 15 anni a questa parte, e sono passate da un valore di 140 milioni di euro nel 2009 ad un valore di quasi 700 milioni nel 2023 (crescita media dell’8,6% annuo), con la previsione di ulteriore incremento nei quattro anni prossimi 2024-2027 del 6,7% annuo.</w:t>
      </w:r>
    </w:p>
    <w:p w14:paraId="5871B757" w14:textId="77777777" w:rsidR="00E62EF9" w:rsidRPr="00E8404C" w:rsidRDefault="00E62EF9" w:rsidP="00E62EF9">
      <w:pPr>
        <w:ind w:left="2127" w:right="-568"/>
        <w:jc w:val="both"/>
        <w:rPr>
          <w:b/>
          <w:bCs/>
          <w:i/>
          <w:iCs/>
          <w:sz w:val="23"/>
          <w:szCs w:val="23"/>
        </w:rPr>
      </w:pPr>
      <w:r w:rsidRPr="00E8404C">
        <w:rPr>
          <w:sz w:val="23"/>
          <w:szCs w:val="23"/>
        </w:rPr>
        <w:t xml:space="preserve">Ma in crescita risultano anche le importazioni di macchine agricole negli altri popolosi Paesi del Sud-est asiatico: il Vietnam (100 milioni di abitanti) prevede incrementi nelle importazioni del 6,2% annuo nei prossimi quattro anni; le Filippine (110 milioni di abitanti) dovrebbero incrementare l’import del 7,8% nei prossimi quattro anni; mentre la Thailandia (71 milioni di abitanti), dopo una crescita molto lenta negli ultimi quindici anni pari ad appena l’1% medio annuo, si prevede passerà nel periodo 2024-2027 ad un incremento annuo del 6,8%. </w:t>
      </w:r>
    </w:p>
    <w:p w14:paraId="1D935814" w14:textId="77777777" w:rsidR="00E62EF9" w:rsidRPr="00E8404C" w:rsidRDefault="00E62EF9" w:rsidP="00E62EF9">
      <w:pPr>
        <w:ind w:left="2127" w:right="-568"/>
        <w:jc w:val="both"/>
        <w:rPr>
          <w:sz w:val="23"/>
          <w:szCs w:val="23"/>
        </w:rPr>
      </w:pPr>
      <w:r w:rsidRPr="00E8404C">
        <w:rPr>
          <w:sz w:val="23"/>
          <w:szCs w:val="23"/>
        </w:rPr>
        <w:t>La variabile demografica è ancora più influente nel continente africano, se è vero che l’Africa Sub-sahariana nel 2050 coprirà da sola il 50% della crescita demografica mondiale. Nel continente africano spicca la Nigeria, che già oggi conta 230 milioni di abitanti e che nel 2050 ne conterà oltre 400 milioni (imponendosi come il terzo Paese più popoloso al mondo), seguita da Etiopia e Repubblica Democratica del Congo, entrambe nettamente oltre i 100 milioni di abitanti e destinate ad una crescita vistosa nei prossimi vent’anni entrando nel novero dei 10 Paesi più popolosi del Pianeta.</w:t>
      </w:r>
    </w:p>
    <w:p w14:paraId="38A6B814" w14:textId="77777777" w:rsidR="00E62EF9" w:rsidRDefault="00E62EF9" w:rsidP="00E62EF9">
      <w:pPr>
        <w:ind w:left="2127" w:right="-568"/>
        <w:jc w:val="both"/>
        <w:rPr>
          <w:sz w:val="23"/>
          <w:szCs w:val="23"/>
        </w:rPr>
      </w:pPr>
      <w:r w:rsidRPr="00E8404C">
        <w:rPr>
          <w:sz w:val="23"/>
          <w:szCs w:val="23"/>
        </w:rPr>
        <w:t xml:space="preserve">In Nigeria appena il 46% delle terre coltivabili è oggi utilizzato </w:t>
      </w:r>
      <w:r>
        <w:rPr>
          <w:sz w:val="23"/>
          <w:szCs w:val="23"/>
        </w:rPr>
        <w:t>-</w:t>
      </w:r>
      <w:r w:rsidRPr="00E8404C">
        <w:rPr>
          <w:sz w:val="23"/>
          <w:szCs w:val="23"/>
        </w:rPr>
        <w:t xml:space="preserve"> è stato detto nel corso della conferenza - e nella Repubblica Democratica del Congo un esiguo 10% dei terreni arabili è oggi impiegato per l’agricoltura, così che la messa in produzione di nuovi territori rappresenta una priorità per questi come per altri Paesi del continente, con un incremento della domanda di tecnologie nell’immediato futuro (da qui al 2027 l’importazione di macchinario agricolo crescerà del 7% annuo in Etiopia e del 12% in Congo), ma più ancora nell’arco dei prossimi vent’anni.</w:t>
      </w:r>
    </w:p>
    <w:p w14:paraId="6EF0B5AC" w14:textId="77777777" w:rsidR="00E62EF9" w:rsidRDefault="00E62EF9" w:rsidP="00E62EF9">
      <w:pPr>
        <w:ind w:left="2127" w:right="-150"/>
        <w:jc w:val="both"/>
        <w:rPr>
          <w:sz w:val="23"/>
          <w:szCs w:val="23"/>
        </w:rPr>
      </w:pPr>
    </w:p>
    <w:p w14:paraId="23768298" w14:textId="77777777" w:rsidR="00E62EF9" w:rsidRPr="00E249E4" w:rsidRDefault="00E62EF9" w:rsidP="00E62EF9">
      <w:pPr>
        <w:ind w:left="2127" w:right="-150"/>
        <w:jc w:val="both"/>
        <w:rPr>
          <w:sz w:val="23"/>
          <w:szCs w:val="23"/>
        </w:rPr>
      </w:pPr>
      <w:r w:rsidRPr="00FD003F">
        <w:rPr>
          <w:b/>
          <w:bCs/>
          <w:i/>
          <w:iCs/>
          <w:sz w:val="23"/>
          <w:szCs w:val="23"/>
        </w:rPr>
        <w:t>Bologna, 5 novembre 2024</w:t>
      </w:r>
    </w:p>
    <w:p w14:paraId="372C8417" w14:textId="26CF64FA" w:rsidR="00774B84" w:rsidRPr="00915417" w:rsidRDefault="00774B84" w:rsidP="00915417">
      <w:pPr>
        <w:pBdr>
          <w:top w:val="nil"/>
          <w:left w:val="nil"/>
          <w:bottom w:val="nil"/>
          <w:right w:val="nil"/>
          <w:between w:val="nil"/>
          <w:bar w:val="nil"/>
        </w:pBdr>
        <w:tabs>
          <w:tab w:val="left" w:pos="2127"/>
        </w:tabs>
        <w:ind w:right="-150"/>
        <w:jc w:val="both"/>
        <w:rPr>
          <w:rFonts w:eastAsia="Arial Unicode MS"/>
          <w:b/>
          <w:bCs/>
          <w:i/>
          <w:iCs/>
          <w:color w:val="000000"/>
          <w:sz w:val="23"/>
          <w:szCs w:val="23"/>
          <w:u w:color="000000"/>
          <w:bdr w:val="nil"/>
          <w:lang w:val="en-US"/>
        </w:rPr>
      </w:pPr>
    </w:p>
    <w:sectPr w:rsidR="00774B84" w:rsidRPr="00915417"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01C6D" w14:textId="77777777" w:rsidR="001603B5" w:rsidRDefault="001603B5">
      <w:r>
        <w:separator/>
      </w:r>
    </w:p>
  </w:endnote>
  <w:endnote w:type="continuationSeparator" w:id="0">
    <w:p w14:paraId="28A7EDD1" w14:textId="77777777" w:rsidR="001603B5" w:rsidRDefault="0016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DECD8" w14:textId="77777777" w:rsidR="001603B5" w:rsidRDefault="001603B5">
      <w:r>
        <w:separator/>
      </w:r>
    </w:p>
  </w:footnote>
  <w:footnote w:type="continuationSeparator" w:id="0">
    <w:p w14:paraId="402A2F9C" w14:textId="77777777" w:rsidR="001603B5" w:rsidRDefault="0016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EDED" w14:textId="77777777" w:rsidR="00774B84" w:rsidRDefault="002D6176">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72B4D"/>
    <w:rsid w:val="000867E4"/>
    <w:rsid w:val="000C42E5"/>
    <w:rsid w:val="00132C83"/>
    <w:rsid w:val="001603B5"/>
    <w:rsid w:val="001E4BD1"/>
    <w:rsid w:val="001F54A2"/>
    <w:rsid w:val="002D6176"/>
    <w:rsid w:val="0038239F"/>
    <w:rsid w:val="00392F74"/>
    <w:rsid w:val="003B7256"/>
    <w:rsid w:val="004043E1"/>
    <w:rsid w:val="00455C8D"/>
    <w:rsid w:val="006E2603"/>
    <w:rsid w:val="00725234"/>
    <w:rsid w:val="00774B84"/>
    <w:rsid w:val="008A4ED0"/>
    <w:rsid w:val="00915417"/>
    <w:rsid w:val="00A676B9"/>
    <w:rsid w:val="00AE5CFA"/>
    <w:rsid w:val="00B537C4"/>
    <w:rsid w:val="00CF1420"/>
    <w:rsid w:val="00CF5BC8"/>
    <w:rsid w:val="00D65F12"/>
    <w:rsid w:val="00DC159E"/>
    <w:rsid w:val="00DD36A6"/>
    <w:rsid w:val="00E62EF9"/>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601</Words>
  <Characters>3427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4020</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Mondo Macchina</cp:lastModifiedBy>
  <cp:revision>3</cp:revision>
  <cp:lastPrinted>2024-11-04T18:13:00Z</cp:lastPrinted>
  <dcterms:created xsi:type="dcterms:W3CDTF">2024-11-04T17:25:00Z</dcterms:created>
  <dcterms:modified xsi:type="dcterms:W3CDTF">2024-11-04T18:13:00Z</dcterms:modified>
</cp:coreProperties>
</file>