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3F02" w14:textId="77777777" w:rsidR="0069500B" w:rsidRPr="00441413" w:rsidRDefault="00254622" w:rsidP="0069500B">
      <w:pPr>
        <w:jc w:val="both"/>
        <w:rPr>
          <w:i/>
          <w:iCs/>
          <w:sz w:val="26"/>
          <w:szCs w:val="26"/>
          <w:lang w:val="en-US"/>
        </w:rPr>
      </w:pPr>
      <w:bookmarkStart w:id="0" w:name="OLE_LINK147"/>
      <w:bookmarkStart w:id="1" w:name="OLE_LINK148"/>
      <w:r w:rsidRPr="00441413">
        <w:rPr>
          <w:i/>
          <w:iCs/>
          <w:sz w:val="26"/>
          <w:szCs w:val="26"/>
          <w:lang w:val="en-US"/>
        </w:rPr>
        <w:t xml:space="preserve">  </w:t>
      </w:r>
    </w:p>
    <w:p w14:paraId="5D9403DF" w14:textId="77777777" w:rsidR="00A21047" w:rsidRPr="00441413" w:rsidRDefault="00254622" w:rsidP="00A21047">
      <w:pPr>
        <w:jc w:val="both"/>
        <w:rPr>
          <w:i/>
          <w:iCs/>
          <w:sz w:val="26"/>
          <w:szCs w:val="26"/>
          <w:lang w:val="en-US"/>
        </w:rPr>
      </w:pPr>
      <w:r>
        <w:rPr>
          <w:i/>
          <w:iCs/>
          <w:sz w:val="26"/>
          <w:szCs w:val="26"/>
          <w:bdr w:val="nil"/>
          <w:lang w:val="en-US"/>
        </w:rPr>
        <w:t xml:space="preserve">  Press release  </w:t>
      </w:r>
      <w:bookmarkStart w:id="2" w:name="OLE_LINK155"/>
      <w:bookmarkEnd w:id="0"/>
      <w:bookmarkEnd w:id="1"/>
    </w:p>
    <w:p w14:paraId="05300DBB" w14:textId="77777777" w:rsidR="009D4710" w:rsidRDefault="00254622" w:rsidP="00F10F7F">
      <w:pPr>
        <w:jc w:val="both"/>
        <w:rPr>
          <w:b/>
          <w:bCs/>
          <w:sz w:val="28"/>
          <w:szCs w:val="28"/>
          <w:bdr w:val="nil"/>
          <w:lang w:val="en-US"/>
        </w:rPr>
      </w:pPr>
      <w:r>
        <w:rPr>
          <w:b/>
          <w:bCs/>
          <w:sz w:val="28"/>
          <w:szCs w:val="28"/>
          <w:bdr w:val="nil"/>
          <w:lang w:val="en-US"/>
        </w:rPr>
        <w:t xml:space="preserve">  </w:t>
      </w:r>
      <w:bookmarkEnd w:id="2"/>
      <w:r>
        <w:rPr>
          <w:b/>
          <w:bCs/>
          <w:sz w:val="28"/>
          <w:szCs w:val="28"/>
          <w:bdr w:val="nil"/>
          <w:lang w:val="en-US"/>
        </w:rPr>
        <w:t xml:space="preserve">Gardening machinery: </w:t>
      </w:r>
    </w:p>
    <w:p w14:paraId="12655B2E" w14:textId="45674216" w:rsidR="00F10F7F" w:rsidRPr="00441413" w:rsidRDefault="009D4710" w:rsidP="00F10F7F">
      <w:pPr>
        <w:jc w:val="both"/>
        <w:rPr>
          <w:b/>
          <w:bCs/>
          <w:sz w:val="28"/>
          <w:szCs w:val="28"/>
          <w:lang w:val="en-US"/>
        </w:rPr>
      </w:pPr>
      <w:r>
        <w:rPr>
          <w:b/>
          <w:bCs/>
          <w:sz w:val="28"/>
          <w:szCs w:val="28"/>
          <w:bdr w:val="nil"/>
          <w:lang w:val="en-US"/>
        </w:rPr>
        <w:t xml:space="preserve">  </w:t>
      </w:r>
      <w:r w:rsidR="00254622">
        <w:rPr>
          <w:b/>
          <w:bCs/>
          <w:sz w:val="28"/>
          <w:szCs w:val="28"/>
          <w:bdr w:val="nil"/>
          <w:lang w:val="en-US"/>
        </w:rPr>
        <w:t>the Italian market is experiencing a slight uptick</w:t>
      </w:r>
    </w:p>
    <w:p w14:paraId="5567AD08" w14:textId="77777777" w:rsidR="00F10F7F" w:rsidRPr="00441413" w:rsidRDefault="00F10F7F" w:rsidP="00F10F7F">
      <w:pPr>
        <w:jc w:val="both"/>
        <w:rPr>
          <w:b/>
          <w:bCs/>
          <w:sz w:val="10"/>
          <w:szCs w:val="10"/>
          <w:lang w:val="en-US"/>
        </w:rPr>
      </w:pPr>
    </w:p>
    <w:p w14:paraId="0565E407" w14:textId="77777777" w:rsidR="00F10F7F" w:rsidRPr="00441413" w:rsidRDefault="00441413" w:rsidP="00F10F7F">
      <w:pPr>
        <w:ind w:left="142"/>
        <w:jc w:val="both"/>
        <w:rPr>
          <w:b/>
          <w:bCs/>
          <w:i/>
          <w:iCs/>
          <w:sz w:val="28"/>
          <w:szCs w:val="28"/>
          <w:lang w:val="en-US"/>
        </w:rPr>
      </w:pPr>
      <w:r>
        <w:rPr>
          <w:b/>
          <w:bCs/>
          <w:i/>
          <w:iCs/>
          <w:sz w:val="28"/>
          <w:szCs w:val="28"/>
          <w:bdr w:val="nil"/>
          <w:lang w:val="en-US"/>
        </w:rPr>
        <w:t>After two con</w:t>
      </w:r>
      <w:r w:rsidR="00254622">
        <w:rPr>
          <w:b/>
          <w:bCs/>
          <w:i/>
          <w:iCs/>
          <w:sz w:val="28"/>
          <w:szCs w:val="28"/>
          <w:bdr w:val="nil"/>
          <w:lang w:val="en-US"/>
        </w:rPr>
        <w:t xml:space="preserve">secutive years in the red, the sales of green machinery and technologies in 2024 returned into the black (+1.5%), with more than 1.37 million units sold. The increase was seen across all the main product types: from hedge trimmers to lawnmowers, brush cutters and blowers. Chainsaws and snowplows on the other hand saw a drop in sales. </w:t>
      </w:r>
    </w:p>
    <w:p w14:paraId="30E98509" w14:textId="77777777" w:rsidR="00F10F7F" w:rsidRPr="00441413" w:rsidRDefault="00F10F7F" w:rsidP="00F10F7F">
      <w:pPr>
        <w:ind w:left="142"/>
        <w:jc w:val="both"/>
        <w:rPr>
          <w:b/>
          <w:bCs/>
          <w:sz w:val="10"/>
          <w:szCs w:val="10"/>
          <w:lang w:val="en-US"/>
        </w:rPr>
      </w:pPr>
    </w:p>
    <w:p w14:paraId="09A16F5B" w14:textId="77777777" w:rsidR="00F10F7F" w:rsidRPr="00441413" w:rsidRDefault="00254622" w:rsidP="00F10F7F">
      <w:pPr>
        <w:ind w:left="142"/>
        <w:jc w:val="both"/>
        <w:rPr>
          <w:sz w:val="28"/>
          <w:szCs w:val="28"/>
          <w:lang w:val="en-US"/>
        </w:rPr>
      </w:pPr>
      <w:r>
        <w:rPr>
          <w:sz w:val="28"/>
          <w:szCs w:val="28"/>
          <w:bdr w:val="nil"/>
          <w:lang w:val="en-US"/>
        </w:rPr>
        <w:t xml:space="preserve">Italy's market for gardening machinery and equipment ended 2024 with a positive balance compared to the previous twelve months. The data on the performance of the sector, provided by the Comagarden manufacturers' association, indicate a positive balance of 20,000 units (+1.5%) for a total of 1,370,200 equipment and vehicles sold (compared to 1,350,500 in 2023). The slight increase reported last year interrupts a negative cycle that began in 2022 (-15.2%) and continued in 2023 (-9%) and, although it does not bring the sector back to the record volumes of 2021 (1.6 million units), it maintains levels higher than those of the pre-pandemic years, when on average less than 1.3 million units were sold in the twelve month period. The growth in demand for gardening technologies seen during and after the Covid period is mainly due to the success of hobbyism and the increase of non-professional operators; phenomena which – as the Comagarden builders association explains – are in turn a consequence of “green” lifestyles and the renewed centrality of green care for personal well-being.  </w:t>
      </w:r>
    </w:p>
    <w:p w14:paraId="1139BBAC" w14:textId="77777777" w:rsidR="00EF52B1" w:rsidRPr="00441413" w:rsidRDefault="00254622" w:rsidP="00F10F7F">
      <w:pPr>
        <w:ind w:left="142"/>
        <w:jc w:val="both"/>
        <w:rPr>
          <w:sz w:val="28"/>
          <w:szCs w:val="28"/>
          <w:lang w:val="en-US"/>
        </w:rPr>
      </w:pPr>
      <w:r>
        <w:rPr>
          <w:sz w:val="28"/>
          <w:szCs w:val="28"/>
          <w:bdr w:val="nil"/>
          <w:lang w:val="en-US"/>
        </w:rPr>
        <w:t xml:space="preserve">As regards the performance of the various product types, the increase in sales particularly affected hedge trimmers and lawnmowers, which increased 11% (going from 107,000 to 119,000 units) and 9% (going from 210,000 to 228,000), respectively. Robot lawnmowers continue to gain market share, with 36,000 units sold (up over the approximately 34,000 sold in 2023) gaining a further 7%, and reaching an all-time high. Brush cutters also closed on a positive note, both for petrol-powered models and for electric or battery-powered ones - the former went from 221,000 units sold to 231,000 (+5%), the latter from 108,000 to 118,000 (+9%) - and for blowers, which recorded a +3% increase (going from 152,000 to 157,000). In a scenario characterized by general growth in the purchase and sale of green machinery and equipment, the trend of chainsaws fell by 13%, dropping more than 40,000 units compared to 2023 (falling from 338,000 to 295,000). An especially particular trend is that of snowplows, which dropped a further 38% with just 1,200 units sold </w:t>
      </w:r>
      <w:r>
        <w:rPr>
          <w:sz w:val="28"/>
          <w:szCs w:val="28"/>
          <w:bdr w:val="nil"/>
          <w:lang w:val="en-US"/>
        </w:rPr>
        <w:lastRenderedPageBreak/>
        <w:t>(compared to 2,000 in the previous year), marking their worst result ever. Such performance reflects the new Italian weather-climate reality, characterized by increasingly warm winters and an increasingly evident decline in snowfall.</w:t>
      </w:r>
    </w:p>
    <w:p w14:paraId="6EE15F24" w14:textId="77777777" w:rsidR="00F10F7F" w:rsidRPr="00441413" w:rsidRDefault="00F10F7F" w:rsidP="00F10F7F">
      <w:pPr>
        <w:ind w:left="142"/>
        <w:jc w:val="both"/>
        <w:rPr>
          <w:sz w:val="28"/>
          <w:szCs w:val="28"/>
          <w:lang w:val="en-US"/>
        </w:rPr>
      </w:pPr>
    </w:p>
    <w:p w14:paraId="570BE7FB" w14:textId="77777777" w:rsidR="00F10F7F" w:rsidRDefault="00254622" w:rsidP="00F10F7F">
      <w:pPr>
        <w:ind w:left="142"/>
        <w:jc w:val="both"/>
        <w:rPr>
          <w:b/>
          <w:bCs/>
          <w:i/>
          <w:iCs/>
          <w:sz w:val="28"/>
          <w:szCs w:val="28"/>
        </w:rPr>
      </w:pPr>
      <w:r>
        <w:rPr>
          <w:b/>
          <w:bCs/>
          <w:i/>
          <w:iCs/>
          <w:sz w:val="28"/>
          <w:szCs w:val="28"/>
          <w:bdr w:val="nil"/>
          <w:lang w:val="en-US"/>
        </w:rPr>
        <w:t>Rome, March 11, 2025</w:t>
      </w:r>
    </w:p>
    <w:p w14:paraId="7ECF646B" w14:textId="77777777" w:rsidR="001C267A" w:rsidRDefault="001C267A" w:rsidP="00F10F7F">
      <w:pPr>
        <w:ind w:left="142"/>
        <w:jc w:val="both"/>
        <w:rPr>
          <w:b/>
          <w:bCs/>
          <w:i/>
          <w:iCs/>
          <w:sz w:val="28"/>
          <w:szCs w:val="28"/>
        </w:rPr>
      </w:pPr>
    </w:p>
    <w:tbl>
      <w:tblPr>
        <w:tblW w:w="7780" w:type="dxa"/>
        <w:tblCellMar>
          <w:left w:w="70" w:type="dxa"/>
          <w:right w:w="70" w:type="dxa"/>
        </w:tblCellMar>
        <w:tblLook w:val="04A0" w:firstRow="1" w:lastRow="0" w:firstColumn="1" w:lastColumn="0" w:noHBand="0" w:noVBand="1"/>
      </w:tblPr>
      <w:tblGrid>
        <w:gridCol w:w="3870"/>
        <w:gridCol w:w="1276"/>
        <w:gridCol w:w="1074"/>
        <w:gridCol w:w="1560"/>
      </w:tblGrid>
      <w:tr w:rsidR="007A0DB0" w:rsidRPr="009D4710" w14:paraId="0B4E2E3D" w14:textId="77777777" w:rsidTr="001C267A">
        <w:trPr>
          <w:trHeight w:val="900"/>
        </w:trPr>
        <w:tc>
          <w:tcPr>
            <w:tcW w:w="7780" w:type="dxa"/>
            <w:gridSpan w:val="4"/>
            <w:tcBorders>
              <w:top w:val="nil"/>
              <w:left w:val="nil"/>
              <w:bottom w:val="nil"/>
              <w:right w:val="nil"/>
            </w:tcBorders>
            <w:shd w:val="clear" w:color="auto" w:fill="auto"/>
            <w:hideMark/>
          </w:tcPr>
          <w:p w14:paraId="754C4DB6" w14:textId="77777777" w:rsidR="001C267A" w:rsidRPr="00441413" w:rsidRDefault="00254622">
            <w:pPr>
              <w:rPr>
                <w:rFonts w:ascii="Arial" w:hAnsi="Arial" w:cs="Arial"/>
                <w:b/>
                <w:bCs/>
                <w:color w:val="2F5597"/>
                <w:lang w:val="en-US"/>
              </w:rPr>
            </w:pPr>
            <w:r>
              <w:rPr>
                <w:rFonts w:ascii="Arial" w:eastAsia="Arial" w:hAnsi="Arial" w:cs="Arial"/>
                <w:b/>
                <w:bCs/>
                <w:color w:val="2F5597"/>
                <w:bdr w:val="nil"/>
                <w:lang w:val="en-US"/>
              </w:rPr>
              <w:t>Italian market performance of the main types of gardening machines in 2023 and estimates for 2024, by number</w:t>
            </w:r>
          </w:p>
        </w:tc>
      </w:tr>
      <w:tr w:rsidR="007A0DB0" w14:paraId="35FC7EB7" w14:textId="77777777" w:rsidTr="001C267A">
        <w:trPr>
          <w:trHeight w:val="300"/>
        </w:trPr>
        <w:tc>
          <w:tcPr>
            <w:tcW w:w="3870" w:type="dxa"/>
            <w:tcBorders>
              <w:top w:val="nil"/>
              <w:left w:val="nil"/>
              <w:bottom w:val="nil"/>
              <w:right w:val="nil"/>
            </w:tcBorders>
            <w:shd w:val="clear" w:color="auto" w:fill="auto"/>
            <w:noWrap/>
            <w:vAlign w:val="bottom"/>
            <w:hideMark/>
          </w:tcPr>
          <w:p w14:paraId="51509C05" w14:textId="77777777" w:rsidR="001C267A" w:rsidRPr="00441413" w:rsidRDefault="001C267A">
            <w:pPr>
              <w:rPr>
                <w:rFonts w:ascii="Arial" w:hAnsi="Arial" w:cs="Arial"/>
                <w:b/>
                <w:bCs/>
                <w:color w:val="2F5597"/>
                <w:lang w:val="en-US"/>
              </w:rPr>
            </w:pPr>
          </w:p>
        </w:tc>
        <w:tc>
          <w:tcPr>
            <w:tcW w:w="2350" w:type="dxa"/>
            <w:gridSpan w:val="2"/>
            <w:tcBorders>
              <w:top w:val="nil"/>
              <w:left w:val="nil"/>
              <w:bottom w:val="single" w:sz="4" w:space="0" w:color="333F4F"/>
              <w:right w:val="nil"/>
            </w:tcBorders>
            <w:shd w:val="clear" w:color="auto" w:fill="auto"/>
            <w:noWrap/>
            <w:vAlign w:val="bottom"/>
            <w:hideMark/>
          </w:tcPr>
          <w:p w14:paraId="1C7E5F0F" w14:textId="77777777" w:rsidR="001C267A" w:rsidRDefault="00254622">
            <w:pPr>
              <w:jc w:val="center"/>
              <w:rPr>
                <w:rFonts w:ascii="Calibri" w:hAnsi="Calibri" w:cs="Calibri"/>
                <w:color w:val="002060"/>
                <w:sz w:val="22"/>
                <w:szCs w:val="22"/>
              </w:rPr>
            </w:pPr>
            <w:r>
              <w:rPr>
                <w:rFonts w:ascii="Calibri" w:eastAsia="Calibri" w:hAnsi="Calibri" w:cs="Calibri"/>
                <w:color w:val="002060"/>
                <w:sz w:val="22"/>
                <w:szCs w:val="22"/>
                <w:bdr w:val="nil"/>
                <w:lang w:val="en-US"/>
              </w:rPr>
              <w:t>(in thousands of units)</w:t>
            </w:r>
          </w:p>
        </w:tc>
        <w:tc>
          <w:tcPr>
            <w:tcW w:w="1560" w:type="dxa"/>
            <w:tcBorders>
              <w:top w:val="nil"/>
              <w:left w:val="nil"/>
              <w:bottom w:val="nil"/>
              <w:right w:val="nil"/>
            </w:tcBorders>
            <w:shd w:val="clear" w:color="auto" w:fill="auto"/>
            <w:noWrap/>
            <w:vAlign w:val="bottom"/>
            <w:hideMark/>
          </w:tcPr>
          <w:p w14:paraId="371183DD" w14:textId="77777777" w:rsidR="001C267A" w:rsidRDefault="001C267A">
            <w:pPr>
              <w:jc w:val="center"/>
              <w:rPr>
                <w:rFonts w:ascii="Calibri" w:hAnsi="Calibri" w:cs="Calibri"/>
                <w:color w:val="002060"/>
                <w:sz w:val="22"/>
                <w:szCs w:val="22"/>
              </w:rPr>
            </w:pPr>
          </w:p>
        </w:tc>
      </w:tr>
      <w:tr w:rsidR="007A0DB0" w14:paraId="498CB91E" w14:textId="77777777" w:rsidTr="001C267A">
        <w:trPr>
          <w:trHeight w:val="555"/>
        </w:trPr>
        <w:tc>
          <w:tcPr>
            <w:tcW w:w="3870" w:type="dxa"/>
            <w:tcBorders>
              <w:top w:val="single" w:sz="4" w:space="0" w:color="auto"/>
              <w:left w:val="single" w:sz="4" w:space="0" w:color="auto"/>
              <w:bottom w:val="single" w:sz="4" w:space="0" w:color="auto"/>
              <w:right w:val="nil"/>
            </w:tcBorders>
            <w:shd w:val="clear" w:color="000000" w:fill="C6E0B4"/>
            <w:noWrap/>
            <w:vAlign w:val="bottom"/>
            <w:hideMark/>
          </w:tcPr>
          <w:p w14:paraId="32960C9F" w14:textId="77777777" w:rsidR="001C267A" w:rsidRDefault="00254622">
            <w:pPr>
              <w:rPr>
                <w:rFonts w:ascii="Tahoma" w:hAnsi="Tahoma" w:cs="Tahoma"/>
                <w:b/>
                <w:bCs/>
                <w:color w:val="203764"/>
                <w:sz w:val="20"/>
                <w:szCs w:val="20"/>
              </w:rPr>
            </w:pPr>
            <w:r>
              <w:rPr>
                <w:rFonts w:ascii="Tahoma" w:hAnsi="Tahoma" w:cs="Tahoma"/>
                <w:b/>
                <w:bCs/>
                <w:color w:val="203764"/>
                <w:sz w:val="20"/>
                <w:szCs w:val="20"/>
              </w:rPr>
              <w:t> </w:t>
            </w:r>
          </w:p>
        </w:tc>
        <w:tc>
          <w:tcPr>
            <w:tcW w:w="1276" w:type="dxa"/>
            <w:tcBorders>
              <w:top w:val="nil"/>
              <w:left w:val="single" w:sz="4" w:space="0" w:color="333F4F"/>
              <w:bottom w:val="single" w:sz="4" w:space="0" w:color="333F4F"/>
              <w:right w:val="single" w:sz="4" w:space="0" w:color="333F4F"/>
            </w:tcBorders>
            <w:shd w:val="clear" w:color="000000" w:fill="C6E0B4"/>
            <w:vAlign w:val="center"/>
            <w:hideMark/>
          </w:tcPr>
          <w:p w14:paraId="416EF6F2" w14:textId="77777777" w:rsidR="001C267A" w:rsidRDefault="00254622">
            <w:pPr>
              <w:jc w:val="center"/>
              <w:rPr>
                <w:rFonts w:ascii="Tahoma" w:hAnsi="Tahoma" w:cs="Tahoma"/>
                <w:b/>
                <w:bCs/>
                <w:color w:val="203764"/>
                <w:sz w:val="20"/>
                <w:szCs w:val="20"/>
              </w:rPr>
            </w:pPr>
            <w:r>
              <w:rPr>
                <w:rFonts w:ascii="Tahoma" w:hAnsi="Tahoma" w:cs="Tahoma"/>
                <w:b/>
                <w:bCs/>
                <w:color w:val="203764"/>
                <w:sz w:val="20"/>
                <w:szCs w:val="20"/>
              </w:rPr>
              <w:t>2023</w:t>
            </w:r>
          </w:p>
        </w:tc>
        <w:tc>
          <w:tcPr>
            <w:tcW w:w="1074" w:type="dxa"/>
            <w:tcBorders>
              <w:top w:val="nil"/>
              <w:left w:val="nil"/>
              <w:bottom w:val="single" w:sz="4" w:space="0" w:color="333F4F"/>
              <w:right w:val="single" w:sz="4" w:space="0" w:color="333F4F"/>
            </w:tcBorders>
            <w:shd w:val="clear" w:color="000000" w:fill="C6E0B4"/>
            <w:vAlign w:val="center"/>
            <w:hideMark/>
          </w:tcPr>
          <w:p w14:paraId="59046AD1" w14:textId="77777777" w:rsidR="001C267A" w:rsidRDefault="00254622">
            <w:pPr>
              <w:jc w:val="center"/>
              <w:rPr>
                <w:rFonts w:ascii="Tahoma" w:hAnsi="Tahoma" w:cs="Tahoma"/>
                <w:b/>
                <w:bCs/>
                <w:color w:val="203764"/>
                <w:sz w:val="20"/>
                <w:szCs w:val="20"/>
              </w:rPr>
            </w:pPr>
            <w:r>
              <w:rPr>
                <w:rFonts w:ascii="Tahoma" w:hAnsi="Tahoma" w:cs="Tahoma"/>
                <w:b/>
                <w:bCs/>
                <w:color w:val="203764"/>
                <w:sz w:val="20"/>
                <w:szCs w:val="20"/>
              </w:rPr>
              <w:t>2024</w:t>
            </w:r>
          </w:p>
        </w:tc>
        <w:tc>
          <w:tcPr>
            <w:tcW w:w="1560" w:type="dxa"/>
            <w:tcBorders>
              <w:top w:val="single" w:sz="4" w:space="0" w:color="333F4F"/>
              <w:left w:val="nil"/>
              <w:bottom w:val="single" w:sz="4" w:space="0" w:color="333F4F"/>
              <w:right w:val="single" w:sz="4" w:space="0" w:color="333F4F"/>
            </w:tcBorders>
            <w:shd w:val="clear" w:color="000000" w:fill="C6E0B4"/>
            <w:vAlign w:val="center"/>
            <w:hideMark/>
          </w:tcPr>
          <w:p w14:paraId="1982CA04" w14:textId="77777777" w:rsidR="001C267A" w:rsidRDefault="00254622">
            <w:pPr>
              <w:jc w:val="center"/>
              <w:rPr>
                <w:rFonts w:ascii="Tahoma" w:hAnsi="Tahoma" w:cs="Tahoma"/>
                <w:b/>
                <w:bCs/>
                <w:color w:val="203764"/>
                <w:sz w:val="20"/>
                <w:szCs w:val="20"/>
              </w:rPr>
            </w:pPr>
            <w:r>
              <w:rPr>
                <w:rFonts w:ascii="Tahoma" w:eastAsia="Tahoma" w:hAnsi="Tahoma" w:cs="Tahoma"/>
                <w:b/>
                <w:bCs/>
                <w:color w:val="203764"/>
                <w:sz w:val="20"/>
                <w:szCs w:val="20"/>
                <w:bdr w:val="nil"/>
                <w:lang w:val="en-US"/>
              </w:rPr>
              <w:t>Var. % 2024/2023</w:t>
            </w:r>
          </w:p>
        </w:tc>
      </w:tr>
      <w:tr w:rsidR="007A0DB0" w14:paraId="0F283A9F"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36A6A08C"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SPRAYERS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DCDF" w14:textId="77777777" w:rsidR="001C267A" w:rsidRDefault="00254622">
            <w:pPr>
              <w:jc w:val="right"/>
              <w:rPr>
                <w:rFonts w:ascii="Tahoma" w:hAnsi="Tahoma" w:cs="Tahoma"/>
                <w:color w:val="002060"/>
                <w:sz w:val="20"/>
                <w:szCs w:val="20"/>
              </w:rPr>
            </w:pPr>
            <w:r>
              <w:rPr>
                <w:rFonts w:ascii="Tahoma" w:hAnsi="Tahoma" w:cs="Tahoma"/>
                <w:color w:val="002060"/>
                <w:sz w:val="20"/>
                <w:szCs w:val="20"/>
              </w:rPr>
              <w:t>3</w:t>
            </w:r>
            <w:r w:rsidR="00441413">
              <w:rPr>
                <w:rFonts w:ascii="Tahoma" w:hAnsi="Tahoma" w:cs="Tahoma"/>
                <w:color w:val="002060"/>
                <w:sz w:val="20"/>
                <w:szCs w:val="20"/>
              </w:rPr>
              <w:t>.</w:t>
            </w:r>
            <w:r>
              <w:rPr>
                <w:rFonts w:ascii="Tahoma" w:hAnsi="Tahoma" w:cs="Tahoma"/>
                <w:color w:val="002060"/>
                <w:sz w:val="20"/>
                <w:szCs w:val="20"/>
              </w:rPr>
              <w:t>6</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454B31D3" w14:textId="77777777" w:rsidR="001C267A" w:rsidRDefault="00254622">
            <w:pPr>
              <w:jc w:val="right"/>
              <w:rPr>
                <w:rFonts w:ascii="Tahoma" w:hAnsi="Tahoma" w:cs="Tahoma"/>
                <w:color w:val="002060"/>
                <w:sz w:val="20"/>
                <w:szCs w:val="20"/>
              </w:rPr>
            </w:pPr>
            <w:r>
              <w:rPr>
                <w:rFonts w:ascii="Tahoma" w:hAnsi="Tahoma" w:cs="Tahoma"/>
                <w:color w:val="002060"/>
                <w:sz w:val="20"/>
                <w:szCs w:val="20"/>
              </w:rPr>
              <w:t>4</w:t>
            </w:r>
            <w:r w:rsidR="00441413">
              <w:rPr>
                <w:rFonts w:ascii="Tahoma" w:hAnsi="Tahoma" w:cs="Tahoma"/>
                <w:color w:val="002060"/>
                <w:sz w:val="20"/>
                <w:szCs w:val="20"/>
              </w:rPr>
              <w:t>.</w:t>
            </w:r>
            <w:r>
              <w:rPr>
                <w:rFonts w:ascii="Tahoma" w:hAnsi="Tahoma" w:cs="Tahoma"/>
                <w:color w:val="002060"/>
                <w:sz w:val="20"/>
                <w:szCs w:val="20"/>
              </w:rPr>
              <w:t>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C34B2F"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11.2%</w:t>
            </w:r>
          </w:p>
        </w:tc>
      </w:tr>
      <w:tr w:rsidR="007A0DB0" w14:paraId="713BEC06"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155D92A6"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AERATORS/SCARIFIERS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CF9636" w14:textId="77777777" w:rsidR="001C267A" w:rsidRDefault="00254622">
            <w:pPr>
              <w:jc w:val="right"/>
              <w:rPr>
                <w:rFonts w:ascii="Tahoma" w:hAnsi="Tahoma" w:cs="Tahoma"/>
                <w:color w:val="002060"/>
                <w:sz w:val="20"/>
                <w:szCs w:val="20"/>
              </w:rPr>
            </w:pPr>
            <w:r>
              <w:rPr>
                <w:rFonts w:ascii="Tahoma" w:hAnsi="Tahoma" w:cs="Tahoma"/>
                <w:color w:val="002060"/>
                <w:sz w:val="20"/>
                <w:szCs w:val="20"/>
              </w:rPr>
              <w:t>7</w:t>
            </w:r>
            <w:r w:rsidR="00441413">
              <w:rPr>
                <w:rFonts w:ascii="Tahoma" w:hAnsi="Tahoma" w:cs="Tahoma"/>
                <w:color w:val="002060"/>
                <w:sz w:val="20"/>
                <w:szCs w:val="20"/>
              </w:rPr>
              <w:t>.</w:t>
            </w:r>
            <w:r>
              <w:rPr>
                <w:rFonts w:ascii="Tahoma" w:hAnsi="Tahoma" w:cs="Tahoma"/>
                <w:color w:val="00206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53C28064" w14:textId="77777777" w:rsidR="001C267A" w:rsidRDefault="00254622">
            <w:pPr>
              <w:jc w:val="right"/>
              <w:rPr>
                <w:rFonts w:ascii="Tahoma" w:hAnsi="Tahoma" w:cs="Tahoma"/>
                <w:color w:val="002060"/>
                <w:sz w:val="20"/>
                <w:szCs w:val="20"/>
              </w:rPr>
            </w:pPr>
            <w:r>
              <w:rPr>
                <w:rFonts w:ascii="Tahoma" w:hAnsi="Tahoma" w:cs="Tahoma"/>
                <w:color w:val="002060"/>
                <w:sz w:val="20"/>
                <w:szCs w:val="20"/>
              </w:rPr>
              <w:t>7</w:t>
            </w:r>
            <w:r w:rsidR="00441413">
              <w:rPr>
                <w:rFonts w:ascii="Tahoma" w:hAnsi="Tahoma" w:cs="Tahoma"/>
                <w:color w:val="002060"/>
                <w:sz w:val="20"/>
                <w:szCs w:val="20"/>
              </w:rPr>
              <w:t>.</w:t>
            </w:r>
            <w:r>
              <w:rPr>
                <w:rFonts w:ascii="Tahoma" w:hAnsi="Tahoma" w:cs="Tahoma"/>
                <w:color w:val="002060"/>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14:paraId="67C44FF2"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5.1%</w:t>
            </w:r>
          </w:p>
        </w:tc>
      </w:tr>
      <w:tr w:rsidR="007A0DB0" w14:paraId="7B37B607"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22DA9EB6"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BIO-SHREDDERS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80781C3" w14:textId="77777777" w:rsidR="001C267A" w:rsidRDefault="00254622">
            <w:pPr>
              <w:jc w:val="right"/>
              <w:rPr>
                <w:rFonts w:ascii="Tahoma" w:hAnsi="Tahoma" w:cs="Tahoma"/>
                <w:color w:val="002060"/>
                <w:sz w:val="20"/>
                <w:szCs w:val="20"/>
              </w:rPr>
            </w:pPr>
            <w:r>
              <w:rPr>
                <w:rFonts w:ascii="Tahoma" w:hAnsi="Tahoma" w:cs="Tahoma"/>
                <w:color w:val="002060"/>
                <w:sz w:val="20"/>
                <w:szCs w:val="20"/>
              </w:rPr>
              <w:t>10</w:t>
            </w:r>
            <w:r w:rsidR="00441413">
              <w:rPr>
                <w:rFonts w:ascii="Tahoma" w:hAnsi="Tahoma" w:cs="Tahoma"/>
                <w:color w:val="002060"/>
                <w:sz w:val="20"/>
                <w:szCs w:val="20"/>
              </w:rPr>
              <w:t>.</w:t>
            </w:r>
            <w:r>
              <w:rPr>
                <w:rFonts w:ascii="Tahoma" w:hAnsi="Tahoma" w:cs="Tahoma"/>
                <w:color w:val="002060"/>
                <w:sz w:val="20"/>
                <w:szCs w:val="20"/>
              </w:rPr>
              <w:t>3</w:t>
            </w:r>
          </w:p>
        </w:tc>
        <w:tc>
          <w:tcPr>
            <w:tcW w:w="1074" w:type="dxa"/>
            <w:tcBorders>
              <w:top w:val="nil"/>
              <w:left w:val="nil"/>
              <w:bottom w:val="single" w:sz="4" w:space="0" w:color="auto"/>
              <w:right w:val="single" w:sz="4" w:space="0" w:color="auto"/>
            </w:tcBorders>
            <w:shd w:val="clear" w:color="auto" w:fill="auto"/>
            <w:noWrap/>
            <w:vAlign w:val="bottom"/>
            <w:hideMark/>
          </w:tcPr>
          <w:p w14:paraId="1309E0EC" w14:textId="77777777" w:rsidR="001C267A" w:rsidRDefault="00254622">
            <w:pPr>
              <w:jc w:val="right"/>
              <w:rPr>
                <w:rFonts w:ascii="Tahoma" w:hAnsi="Tahoma" w:cs="Tahoma"/>
                <w:color w:val="002060"/>
                <w:sz w:val="20"/>
                <w:szCs w:val="20"/>
              </w:rPr>
            </w:pPr>
            <w:r>
              <w:rPr>
                <w:rFonts w:ascii="Tahoma" w:hAnsi="Tahoma" w:cs="Tahoma"/>
                <w:color w:val="002060"/>
                <w:sz w:val="20"/>
                <w:szCs w:val="20"/>
              </w:rPr>
              <w:t>8</w:t>
            </w:r>
            <w:r w:rsidR="00441413">
              <w:rPr>
                <w:rFonts w:ascii="Tahoma" w:hAnsi="Tahoma" w:cs="Tahoma"/>
                <w:color w:val="002060"/>
                <w:sz w:val="20"/>
                <w:szCs w:val="20"/>
              </w:rPr>
              <w:t>.</w:t>
            </w:r>
            <w:r>
              <w:rPr>
                <w:rFonts w:ascii="Tahoma" w:hAnsi="Tahoma" w:cs="Tahoma"/>
                <w:color w:val="00206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14:paraId="7D06715B"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-19.5%</w:t>
            </w:r>
          </w:p>
        </w:tc>
      </w:tr>
      <w:tr w:rsidR="007A0DB0" w14:paraId="6FF3C707"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234F220E"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 xml:space="preserve">GAS-POWERED BRUSHCUTTERS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DDA4223" w14:textId="77777777" w:rsidR="001C267A" w:rsidRDefault="00254622">
            <w:pPr>
              <w:jc w:val="right"/>
              <w:rPr>
                <w:rFonts w:ascii="Tahoma" w:hAnsi="Tahoma" w:cs="Tahoma"/>
                <w:color w:val="002060"/>
                <w:sz w:val="20"/>
                <w:szCs w:val="20"/>
              </w:rPr>
            </w:pPr>
            <w:r>
              <w:rPr>
                <w:rFonts w:ascii="Tahoma" w:hAnsi="Tahoma" w:cs="Tahoma"/>
                <w:color w:val="002060"/>
                <w:sz w:val="20"/>
                <w:szCs w:val="20"/>
              </w:rPr>
              <w:t>221</w:t>
            </w:r>
            <w:r w:rsidR="00441413">
              <w:rPr>
                <w:rFonts w:ascii="Tahoma" w:hAnsi="Tahoma" w:cs="Tahoma"/>
                <w:color w:val="002060"/>
                <w:sz w:val="20"/>
                <w:szCs w:val="20"/>
              </w:rPr>
              <w:t>.</w:t>
            </w:r>
            <w:r>
              <w:rPr>
                <w:rFonts w:ascii="Tahoma" w:hAnsi="Tahoma" w:cs="Tahoma"/>
                <w:color w:val="002060"/>
                <w:sz w:val="20"/>
                <w:szCs w:val="20"/>
              </w:rPr>
              <w:t>2</w:t>
            </w:r>
          </w:p>
        </w:tc>
        <w:tc>
          <w:tcPr>
            <w:tcW w:w="1074" w:type="dxa"/>
            <w:tcBorders>
              <w:top w:val="nil"/>
              <w:left w:val="nil"/>
              <w:bottom w:val="single" w:sz="4" w:space="0" w:color="auto"/>
              <w:right w:val="single" w:sz="4" w:space="0" w:color="auto"/>
            </w:tcBorders>
            <w:shd w:val="clear" w:color="auto" w:fill="auto"/>
            <w:noWrap/>
            <w:vAlign w:val="bottom"/>
            <w:hideMark/>
          </w:tcPr>
          <w:p w14:paraId="29280465" w14:textId="77777777" w:rsidR="001C267A" w:rsidRDefault="00254622">
            <w:pPr>
              <w:jc w:val="right"/>
              <w:rPr>
                <w:rFonts w:ascii="Tahoma" w:hAnsi="Tahoma" w:cs="Tahoma"/>
                <w:color w:val="002060"/>
                <w:sz w:val="20"/>
                <w:szCs w:val="20"/>
              </w:rPr>
            </w:pPr>
            <w:r>
              <w:rPr>
                <w:rFonts w:ascii="Tahoma" w:hAnsi="Tahoma" w:cs="Tahoma"/>
                <w:color w:val="002060"/>
                <w:sz w:val="20"/>
                <w:szCs w:val="20"/>
              </w:rPr>
              <w:t>231</w:t>
            </w:r>
            <w:r w:rsidR="00441413">
              <w:rPr>
                <w:rFonts w:ascii="Tahoma" w:hAnsi="Tahoma" w:cs="Tahoma"/>
                <w:color w:val="002060"/>
                <w:sz w:val="20"/>
                <w:szCs w:val="20"/>
              </w:rPr>
              <w:t>.</w:t>
            </w:r>
            <w:r>
              <w:rPr>
                <w:rFonts w:ascii="Tahoma" w:hAnsi="Tahoma" w:cs="Tahoma"/>
                <w:color w:val="002060"/>
                <w:sz w:val="20"/>
                <w:szCs w:val="20"/>
              </w:rPr>
              <w:t>3</w:t>
            </w:r>
          </w:p>
        </w:tc>
        <w:tc>
          <w:tcPr>
            <w:tcW w:w="1560" w:type="dxa"/>
            <w:tcBorders>
              <w:top w:val="nil"/>
              <w:left w:val="nil"/>
              <w:bottom w:val="single" w:sz="4" w:space="0" w:color="auto"/>
              <w:right w:val="single" w:sz="4" w:space="0" w:color="auto"/>
            </w:tcBorders>
            <w:shd w:val="clear" w:color="auto" w:fill="auto"/>
            <w:noWrap/>
            <w:vAlign w:val="bottom"/>
            <w:hideMark/>
          </w:tcPr>
          <w:p w14:paraId="7F3D5BB2"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4.5%</w:t>
            </w:r>
          </w:p>
        </w:tc>
      </w:tr>
      <w:tr w:rsidR="007A0DB0" w14:paraId="23F394AF"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7627520C"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 xml:space="preserve">BRUSHCUTTERS / LINE TRIMMERS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8395F6" w14:textId="77777777" w:rsidR="001C267A" w:rsidRDefault="00254622">
            <w:pPr>
              <w:jc w:val="right"/>
              <w:rPr>
                <w:rFonts w:ascii="Tahoma" w:hAnsi="Tahoma" w:cs="Tahoma"/>
                <w:color w:val="002060"/>
                <w:sz w:val="20"/>
                <w:szCs w:val="20"/>
              </w:rPr>
            </w:pPr>
            <w:r>
              <w:rPr>
                <w:rFonts w:ascii="Tahoma" w:hAnsi="Tahoma" w:cs="Tahoma"/>
                <w:color w:val="002060"/>
                <w:sz w:val="20"/>
                <w:szCs w:val="20"/>
              </w:rPr>
              <w:t>108</w:t>
            </w:r>
            <w:r w:rsidR="00441413">
              <w:rPr>
                <w:rFonts w:ascii="Tahoma" w:hAnsi="Tahoma" w:cs="Tahoma"/>
                <w:color w:val="002060"/>
                <w:sz w:val="20"/>
                <w:szCs w:val="20"/>
              </w:rPr>
              <w:t>.</w:t>
            </w:r>
            <w:r>
              <w:rPr>
                <w:rFonts w:ascii="Tahoma" w:hAnsi="Tahoma" w:cs="Tahoma"/>
                <w:color w:val="00206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1C1CE519" w14:textId="77777777" w:rsidR="001C267A" w:rsidRDefault="00254622">
            <w:pPr>
              <w:jc w:val="right"/>
              <w:rPr>
                <w:rFonts w:ascii="Tahoma" w:hAnsi="Tahoma" w:cs="Tahoma"/>
                <w:color w:val="002060"/>
                <w:sz w:val="20"/>
                <w:szCs w:val="20"/>
              </w:rPr>
            </w:pPr>
            <w:r>
              <w:rPr>
                <w:rFonts w:ascii="Tahoma" w:hAnsi="Tahoma" w:cs="Tahoma"/>
                <w:color w:val="002060"/>
                <w:sz w:val="20"/>
                <w:szCs w:val="20"/>
              </w:rPr>
              <w:t>118</w:t>
            </w:r>
            <w:r w:rsidR="00441413">
              <w:rPr>
                <w:rFonts w:ascii="Tahoma" w:hAnsi="Tahoma" w:cs="Tahoma"/>
                <w:color w:val="002060"/>
                <w:sz w:val="20"/>
                <w:szCs w:val="20"/>
              </w:rPr>
              <w:t>.</w:t>
            </w:r>
            <w:r>
              <w:rPr>
                <w:rFonts w:ascii="Tahoma" w:hAnsi="Tahoma" w:cs="Tahoma"/>
                <w:color w:val="002060"/>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14:paraId="1B8DA4AF"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9.4%</w:t>
            </w:r>
          </w:p>
        </w:tc>
      </w:tr>
      <w:tr w:rsidR="007A0DB0" w14:paraId="150E7388"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529BBF83"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BATTERY-POWERED SHEARS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C0ED86F" w14:textId="77777777" w:rsidR="001C267A" w:rsidRDefault="00254622">
            <w:pPr>
              <w:jc w:val="right"/>
              <w:rPr>
                <w:rFonts w:ascii="Tahoma" w:hAnsi="Tahoma" w:cs="Tahoma"/>
                <w:color w:val="002060"/>
                <w:sz w:val="20"/>
                <w:szCs w:val="20"/>
              </w:rPr>
            </w:pPr>
            <w:r>
              <w:rPr>
                <w:rFonts w:ascii="Tahoma" w:hAnsi="Tahoma" w:cs="Tahoma"/>
                <w:color w:val="002060"/>
                <w:sz w:val="20"/>
                <w:szCs w:val="20"/>
              </w:rPr>
              <w:t>30</w:t>
            </w:r>
            <w:r w:rsidR="00441413">
              <w:rPr>
                <w:rFonts w:ascii="Tahoma" w:hAnsi="Tahoma" w:cs="Tahoma"/>
                <w:color w:val="002060"/>
                <w:sz w:val="20"/>
                <w:szCs w:val="20"/>
              </w:rPr>
              <w:t>.</w:t>
            </w:r>
            <w:r>
              <w:rPr>
                <w:rFonts w:ascii="Tahoma" w:hAnsi="Tahoma" w:cs="Tahoma"/>
                <w:color w:val="002060"/>
                <w:sz w:val="20"/>
                <w:szCs w:val="20"/>
              </w:rPr>
              <w:t>6</w:t>
            </w:r>
          </w:p>
        </w:tc>
        <w:tc>
          <w:tcPr>
            <w:tcW w:w="1074" w:type="dxa"/>
            <w:tcBorders>
              <w:top w:val="nil"/>
              <w:left w:val="nil"/>
              <w:bottom w:val="single" w:sz="4" w:space="0" w:color="auto"/>
              <w:right w:val="single" w:sz="4" w:space="0" w:color="auto"/>
            </w:tcBorders>
            <w:shd w:val="clear" w:color="auto" w:fill="auto"/>
            <w:noWrap/>
            <w:vAlign w:val="bottom"/>
            <w:hideMark/>
          </w:tcPr>
          <w:p w14:paraId="2091FDFB" w14:textId="77777777" w:rsidR="001C267A" w:rsidRDefault="00254622">
            <w:pPr>
              <w:jc w:val="right"/>
              <w:rPr>
                <w:rFonts w:ascii="Tahoma" w:hAnsi="Tahoma" w:cs="Tahoma"/>
                <w:color w:val="002060"/>
                <w:sz w:val="20"/>
                <w:szCs w:val="20"/>
              </w:rPr>
            </w:pPr>
            <w:r>
              <w:rPr>
                <w:rFonts w:ascii="Tahoma" w:hAnsi="Tahoma" w:cs="Tahoma"/>
                <w:color w:val="002060"/>
                <w:sz w:val="20"/>
                <w:szCs w:val="20"/>
              </w:rPr>
              <w:t>23</w:t>
            </w:r>
            <w:r w:rsidR="00441413">
              <w:rPr>
                <w:rFonts w:ascii="Tahoma" w:hAnsi="Tahoma" w:cs="Tahoma"/>
                <w:color w:val="002060"/>
                <w:sz w:val="20"/>
                <w:szCs w:val="20"/>
              </w:rPr>
              <w:t>.</w:t>
            </w:r>
            <w:r>
              <w:rPr>
                <w:rFonts w:ascii="Tahoma" w:hAnsi="Tahoma" w:cs="Tahoma"/>
                <w:color w:val="00206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14:paraId="1BC94FFE"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-24.3%</w:t>
            </w:r>
          </w:p>
        </w:tc>
      </w:tr>
      <w:tr w:rsidR="007A0DB0" w14:paraId="4847A7C7"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6672DAFB"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CHAINSAWS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47C053" w14:textId="77777777" w:rsidR="001C267A" w:rsidRDefault="00254622">
            <w:pPr>
              <w:jc w:val="right"/>
              <w:rPr>
                <w:rFonts w:ascii="Tahoma" w:hAnsi="Tahoma" w:cs="Tahoma"/>
                <w:color w:val="002060"/>
                <w:sz w:val="20"/>
                <w:szCs w:val="20"/>
              </w:rPr>
            </w:pPr>
            <w:r>
              <w:rPr>
                <w:rFonts w:ascii="Tahoma" w:hAnsi="Tahoma" w:cs="Tahoma"/>
                <w:color w:val="002060"/>
                <w:sz w:val="20"/>
                <w:szCs w:val="20"/>
              </w:rPr>
              <w:t>337</w:t>
            </w:r>
            <w:r w:rsidR="00441413">
              <w:rPr>
                <w:rFonts w:ascii="Tahoma" w:hAnsi="Tahoma" w:cs="Tahoma"/>
                <w:color w:val="002060"/>
                <w:sz w:val="20"/>
                <w:szCs w:val="20"/>
              </w:rPr>
              <w:t>.</w:t>
            </w:r>
            <w:r>
              <w:rPr>
                <w:rFonts w:ascii="Tahoma" w:hAnsi="Tahoma" w:cs="Tahoma"/>
                <w:color w:val="002060"/>
                <w:sz w:val="20"/>
                <w:szCs w:val="20"/>
              </w:rPr>
              <w:t>7</w:t>
            </w:r>
          </w:p>
        </w:tc>
        <w:tc>
          <w:tcPr>
            <w:tcW w:w="1074" w:type="dxa"/>
            <w:tcBorders>
              <w:top w:val="nil"/>
              <w:left w:val="nil"/>
              <w:bottom w:val="single" w:sz="4" w:space="0" w:color="auto"/>
              <w:right w:val="single" w:sz="4" w:space="0" w:color="auto"/>
            </w:tcBorders>
            <w:shd w:val="clear" w:color="auto" w:fill="auto"/>
            <w:noWrap/>
            <w:vAlign w:val="bottom"/>
            <w:hideMark/>
          </w:tcPr>
          <w:p w14:paraId="5EAA14A1" w14:textId="77777777" w:rsidR="001C267A" w:rsidRDefault="00254622">
            <w:pPr>
              <w:jc w:val="right"/>
              <w:rPr>
                <w:rFonts w:ascii="Tahoma" w:hAnsi="Tahoma" w:cs="Tahoma"/>
                <w:color w:val="002060"/>
                <w:sz w:val="20"/>
                <w:szCs w:val="20"/>
              </w:rPr>
            </w:pPr>
            <w:r>
              <w:rPr>
                <w:rFonts w:ascii="Tahoma" w:hAnsi="Tahoma" w:cs="Tahoma"/>
                <w:color w:val="002060"/>
                <w:sz w:val="20"/>
                <w:szCs w:val="20"/>
              </w:rPr>
              <w:t>295</w:t>
            </w:r>
            <w:r w:rsidR="00441413">
              <w:rPr>
                <w:rFonts w:ascii="Tahoma" w:hAnsi="Tahoma" w:cs="Tahoma"/>
                <w:color w:val="002060"/>
                <w:sz w:val="20"/>
                <w:szCs w:val="20"/>
              </w:rPr>
              <w:t>.</w:t>
            </w:r>
            <w:r>
              <w:rPr>
                <w:rFonts w:ascii="Tahoma" w:hAnsi="Tahoma" w:cs="Tahoma"/>
                <w:color w:val="002060"/>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14:paraId="3DE65495"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-12.6%</w:t>
            </w:r>
          </w:p>
        </w:tc>
      </w:tr>
      <w:tr w:rsidR="007A0DB0" w14:paraId="54F0B636"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7FFC5A5A"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MOTOR HOES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231F77" w14:textId="77777777" w:rsidR="001C267A" w:rsidRDefault="00254622">
            <w:pPr>
              <w:jc w:val="right"/>
              <w:rPr>
                <w:rFonts w:ascii="Tahoma" w:hAnsi="Tahoma" w:cs="Tahoma"/>
                <w:color w:val="002060"/>
                <w:sz w:val="20"/>
                <w:szCs w:val="20"/>
              </w:rPr>
            </w:pPr>
            <w:r>
              <w:rPr>
                <w:rFonts w:ascii="Tahoma" w:hAnsi="Tahoma" w:cs="Tahoma"/>
                <w:color w:val="002060"/>
                <w:sz w:val="20"/>
                <w:szCs w:val="20"/>
              </w:rPr>
              <w:t>25</w:t>
            </w:r>
            <w:r w:rsidR="00441413">
              <w:rPr>
                <w:rFonts w:ascii="Tahoma" w:hAnsi="Tahoma" w:cs="Tahoma"/>
                <w:color w:val="002060"/>
                <w:sz w:val="20"/>
                <w:szCs w:val="20"/>
              </w:rPr>
              <w:t>.</w:t>
            </w:r>
            <w:r>
              <w:rPr>
                <w:rFonts w:ascii="Tahoma" w:hAnsi="Tahoma" w:cs="Tahoma"/>
                <w:color w:val="002060"/>
                <w:sz w:val="20"/>
                <w:szCs w:val="20"/>
              </w:rPr>
              <w:t>8</w:t>
            </w:r>
          </w:p>
        </w:tc>
        <w:tc>
          <w:tcPr>
            <w:tcW w:w="1074" w:type="dxa"/>
            <w:tcBorders>
              <w:top w:val="nil"/>
              <w:left w:val="nil"/>
              <w:bottom w:val="single" w:sz="4" w:space="0" w:color="auto"/>
              <w:right w:val="single" w:sz="4" w:space="0" w:color="auto"/>
            </w:tcBorders>
            <w:shd w:val="clear" w:color="auto" w:fill="auto"/>
            <w:noWrap/>
            <w:vAlign w:val="bottom"/>
            <w:hideMark/>
          </w:tcPr>
          <w:p w14:paraId="517AD9F1" w14:textId="77777777" w:rsidR="001C267A" w:rsidRDefault="00254622">
            <w:pPr>
              <w:jc w:val="right"/>
              <w:rPr>
                <w:rFonts w:ascii="Tahoma" w:hAnsi="Tahoma" w:cs="Tahoma"/>
                <w:color w:val="002060"/>
                <w:sz w:val="20"/>
                <w:szCs w:val="20"/>
              </w:rPr>
            </w:pPr>
            <w:r>
              <w:rPr>
                <w:rFonts w:ascii="Tahoma" w:hAnsi="Tahoma" w:cs="Tahoma"/>
                <w:color w:val="002060"/>
                <w:sz w:val="20"/>
                <w:szCs w:val="20"/>
              </w:rPr>
              <w:t>26</w:t>
            </w:r>
            <w:r w:rsidR="00441413">
              <w:rPr>
                <w:rFonts w:ascii="Tahoma" w:hAnsi="Tahoma" w:cs="Tahoma"/>
                <w:color w:val="002060"/>
                <w:sz w:val="20"/>
                <w:szCs w:val="20"/>
              </w:rPr>
              <w:t>.</w:t>
            </w:r>
            <w:r>
              <w:rPr>
                <w:rFonts w:ascii="Tahoma" w:hAnsi="Tahoma" w:cs="Tahoma"/>
                <w:color w:val="00206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14:paraId="7107D7DA"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1.3%</w:t>
            </w:r>
          </w:p>
        </w:tc>
      </w:tr>
      <w:tr w:rsidR="007A0DB0" w14:paraId="01A2ED04"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318B24BD"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 xml:space="preserve">PRUNERS / BATTERY-POWERED PRUNERS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0D2873" w14:textId="77777777" w:rsidR="001C267A" w:rsidRDefault="00254622">
            <w:pPr>
              <w:jc w:val="right"/>
              <w:rPr>
                <w:rFonts w:ascii="Tahoma" w:hAnsi="Tahoma" w:cs="Tahoma"/>
                <w:color w:val="002060"/>
                <w:sz w:val="20"/>
                <w:szCs w:val="20"/>
              </w:rPr>
            </w:pPr>
            <w:r>
              <w:rPr>
                <w:rFonts w:ascii="Tahoma" w:hAnsi="Tahoma" w:cs="Tahoma"/>
                <w:color w:val="002060"/>
                <w:sz w:val="20"/>
                <w:szCs w:val="20"/>
              </w:rPr>
              <w:t>55</w:t>
            </w:r>
            <w:r w:rsidR="00441413">
              <w:rPr>
                <w:rFonts w:ascii="Tahoma" w:hAnsi="Tahoma" w:cs="Tahoma"/>
                <w:color w:val="002060"/>
                <w:sz w:val="20"/>
                <w:szCs w:val="20"/>
              </w:rPr>
              <w:t>.</w:t>
            </w:r>
            <w:r>
              <w:rPr>
                <w:rFonts w:ascii="Tahoma" w:hAnsi="Tahoma" w:cs="Tahoma"/>
                <w:color w:val="00206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0DD589B0" w14:textId="77777777" w:rsidR="001C267A" w:rsidRDefault="00254622">
            <w:pPr>
              <w:jc w:val="right"/>
              <w:rPr>
                <w:rFonts w:ascii="Tahoma" w:hAnsi="Tahoma" w:cs="Tahoma"/>
                <w:color w:val="002060"/>
                <w:sz w:val="20"/>
                <w:szCs w:val="20"/>
              </w:rPr>
            </w:pPr>
            <w:r>
              <w:rPr>
                <w:rFonts w:ascii="Tahoma" w:hAnsi="Tahoma" w:cs="Tahoma"/>
                <w:color w:val="002060"/>
                <w:sz w:val="20"/>
                <w:szCs w:val="20"/>
              </w:rPr>
              <w:t>58</w:t>
            </w:r>
            <w:r w:rsidR="00441413">
              <w:rPr>
                <w:rFonts w:ascii="Tahoma" w:hAnsi="Tahoma" w:cs="Tahoma"/>
                <w:color w:val="002060"/>
                <w:sz w:val="20"/>
                <w:szCs w:val="20"/>
              </w:rPr>
              <w:t>.</w:t>
            </w:r>
            <w:r>
              <w:rPr>
                <w:rFonts w:ascii="Tahoma" w:hAnsi="Tahoma" w:cs="Tahoma"/>
                <w:color w:val="00206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14:paraId="540FEA78"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6.2%</w:t>
            </w:r>
          </w:p>
        </w:tc>
      </w:tr>
      <w:tr w:rsidR="007A0DB0" w14:paraId="6EE57917"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626B69C0"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POLE PRUNERS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C4C68A" w14:textId="77777777" w:rsidR="001C267A" w:rsidRDefault="00254622">
            <w:pPr>
              <w:jc w:val="right"/>
              <w:rPr>
                <w:rFonts w:ascii="Tahoma" w:hAnsi="Tahoma" w:cs="Tahoma"/>
                <w:color w:val="002060"/>
                <w:sz w:val="20"/>
                <w:szCs w:val="20"/>
              </w:rPr>
            </w:pPr>
            <w:r>
              <w:rPr>
                <w:rFonts w:ascii="Tahoma" w:hAnsi="Tahoma" w:cs="Tahoma"/>
                <w:color w:val="002060"/>
                <w:sz w:val="20"/>
                <w:szCs w:val="20"/>
              </w:rPr>
              <w:t>14</w:t>
            </w:r>
            <w:r w:rsidR="00441413">
              <w:rPr>
                <w:rFonts w:ascii="Tahoma" w:hAnsi="Tahoma" w:cs="Tahoma"/>
                <w:color w:val="002060"/>
                <w:sz w:val="20"/>
                <w:szCs w:val="20"/>
              </w:rPr>
              <w:t>.</w:t>
            </w:r>
            <w:r>
              <w:rPr>
                <w:rFonts w:ascii="Tahoma" w:hAnsi="Tahoma" w:cs="Tahoma"/>
                <w:color w:val="002060"/>
                <w:sz w:val="20"/>
                <w:szCs w:val="20"/>
              </w:rPr>
              <w:t>7</w:t>
            </w:r>
          </w:p>
        </w:tc>
        <w:tc>
          <w:tcPr>
            <w:tcW w:w="1074" w:type="dxa"/>
            <w:tcBorders>
              <w:top w:val="nil"/>
              <w:left w:val="nil"/>
              <w:bottom w:val="single" w:sz="4" w:space="0" w:color="auto"/>
              <w:right w:val="single" w:sz="4" w:space="0" w:color="auto"/>
            </w:tcBorders>
            <w:shd w:val="clear" w:color="auto" w:fill="auto"/>
            <w:noWrap/>
            <w:vAlign w:val="bottom"/>
            <w:hideMark/>
          </w:tcPr>
          <w:p w14:paraId="11016EA2" w14:textId="77777777" w:rsidR="001C267A" w:rsidRDefault="00254622">
            <w:pPr>
              <w:jc w:val="right"/>
              <w:rPr>
                <w:rFonts w:ascii="Tahoma" w:hAnsi="Tahoma" w:cs="Tahoma"/>
                <w:color w:val="002060"/>
                <w:sz w:val="20"/>
                <w:szCs w:val="20"/>
              </w:rPr>
            </w:pPr>
            <w:r>
              <w:rPr>
                <w:rFonts w:ascii="Tahoma" w:hAnsi="Tahoma" w:cs="Tahoma"/>
                <w:color w:val="002060"/>
                <w:sz w:val="20"/>
                <w:szCs w:val="20"/>
              </w:rPr>
              <w:t>21</w:t>
            </w:r>
            <w:r w:rsidR="00441413">
              <w:rPr>
                <w:rFonts w:ascii="Tahoma" w:hAnsi="Tahoma" w:cs="Tahoma"/>
                <w:color w:val="002060"/>
                <w:sz w:val="20"/>
                <w:szCs w:val="20"/>
              </w:rPr>
              <w:t>.</w:t>
            </w:r>
            <w:r>
              <w:rPr>
                <w:rFonts w:ascii="Tahoma" w:hAnsi="Tahoma" w:cs="Tahoma"/>
                <w:color w:val="002060"/>
                <w:sz w:val="20"/>
                <w:szCs w:val="20"/>
              </w:rPr>
              <w:t>8</w:t>
            </w:r>
          </w:p>
        </w:tc>
        <w:tc>
          <w:tcPr>
            <w:tcW w:w="1560" w:type="dxa"/>
            <w:tcBorders>
              <w:top w:val="nil"/>
              <w:left w:val="nil"/>
              <w:bottom w:val="single" w:sz="4" w:space="0" w:color="auto"/>
              <w:right w:val="single" w:sz="4" w:space="0" w:color="auto"/>
            </w:tcBorders>
            <w:shd w:val="clear" w:color="auto" w:fill="auto"/>
            <w:noWrap/>
            <w:vAlign w:val="bottom"/>
            <w:hideMark/>
          </w:tcPr>
          <w:p w14:paraId="7EFDEFCD"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48.6%</w:t>
            </w:r>
          </w:p>
        </w:tc>
      </w:tr>
      <w:tr w:rsidR="007A0DB0" w14:paraId="4C2A10D4"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74635DAA"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LAWN MOWERS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0D3BC5" w14:textId="77777777" w:rsidR="001C267A" w:rsidRDefault="00254622">
            <w:pPr>
              <w:jc w:val="right"/>
              <w:rPr>
                <w:rFonts w:ascii="Tahoma" w:hAnsi="Tahoma" w:cs="Tahoma"/>
                <w:color w:val="002060"/>
                <w:sz w:val="20"/>
                <w:szCs w:val="20"/>
              </w:rPr>
            </w:pPr>
            <w:r>
              <w:rPr>
                <w:rFonts w:ascii="Tahoma" w:hAnsi="Tahoma" w:cs="Tahoma"/>
                <w:color w:val="002060"/>
                <w:sz w:val="20"/>
                <w:szCs w:val="20"/>
              </w:rPr>
              <w:t>210</w:t>
            </w:r>
            <w:r w:rsidR="00441413">
              <w:rPr>
                <w:rFonts w:ascii="Tahoma" w:hAnsi="Tahoma" w:cs="Tahoma"/>
                <w:color w:val="002060"/>
                <w:sz w:val="20"/>
                <w:szCs w:val="20"/>
              </w:rPr>
              <w:t>.</w:t>
            </w:r>
            <w:r>
              <w:rPr>
                <w:rFonts w:ascii="Tahoma" w:hAnsi="Tahoma" w:cs="Tahoma"/>
                <w:color w:val="002060"/>
                <w:sz w:val="20"/>
                <w:szCs w:val="20"/>
              </w:rPr>
              <w:t>2</w:t>
            </w:r>
          </w:p>
        </w:tc>
        <w:tc>
          <w:tcPr>
            <w:tcW w:w="1074" w:type="dxa"/>
            <w:tcBorders>
              <w:top w:val="nil"/>
              <w:left w:val="nil"/>
              <w:bottom w:val="single" w:sz="4" w:space="0" w:color="auto"/>
              <w:right w:val="single" w:sz="4" w:space="0" w:color="auto"/>
            </w:tcBorders>
            <w:shd w:val="clear" w:color="auto" w:fill="auto"/>
            <w:noWrap/>
            <w:vAlign w:val="bottom"/>
            <w:hideMark/>
          </w:tcPr>
          <w:p w14:paraId="4DBAB587" w14:textId="77777777" w:rsidR="001C267A" w:rsidRDefault="00254622">
            <w:pPr>
              <w:jc w:val="right"/>
              <w:rPr>
                <w:rFonts w:ascii="Tahoma" w:hAnsi="Tahoma" w:cs="Tahoma"/>
                <w:color w:val="002060"/>
                <w:sz w:val="20"/>
                <w:szCs w:val="20"/>
              </w:rPr>
            </w:pPr>
            <w:r>
              <w:rPr>
                <w:rFonts w:ascii="Tahoma" w:hAnsi="Tahoma" w:cs="Tahoma"/>
                <w:color w:val="002060"/>
                <w:sz w:val="20"/>
                <w:szCs w:val="20"/>
              </w:rPr>
              <w:t>228</w:t>
            </w:r>
            <w:r w:rsidR="00441413">
              <w:rPr>
                <w:rFonts w:ascii="Tahoma" w:hAnsi="Tahoma" w:cs="Tahoma"/>
                <w:color w:val="002060"/>
                <w:sz w:val="20"/>
                <w:szCs w:val="20"/>
              </w:rPr>
              <w:t>.</w:t>
            </w:r>
            <w:r>
              <w:rPr>
                <w:rFonts w:ascii="Tahoma" w:hAnsi="Tahoma" w:cs="Tahoma"/>
                <w:color w:val="00206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14:paraId="0ED2E865"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8.5%</w:t>
            </w:r>
          </w:p>
        </w:tc>
      </w:tr>
      <w:tr w:rsidR="007A0DB0" w14:paraId="63A0F177"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04D48051"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ROBOT LAWN MOWERS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4B5B18" w14:textId="77777777" w:rsidR="001C267A" w:rsidRDefault="00254622">
            <w:pPr>
              <w:jc w:val="right"/>
              <w:rPr>
                <w:rFonts w:ascii="Tahoma" w:hAnsi="Tahoma" w:cs="Tahoma"/>
                <w:color w:val="002060"/>
                <w:sz w:val="20"/>
                <w:szCs w:val="20"/>
              </w:rPr>
            </w:pPr>
            <w:r>
              <w:rPr>
                <w:rFonts w:ascii="Tahoma" w:hAnsi="Tahoma" w:cs="Tahoma"/>
                <w:color w:val="002060"/>
                <w:sz w:val="20"/>
                <w:szCs w:val="20"/>
              </w:rPr>
              <w:t>33</w:t>
            </w:r>
            <w:r w:rsidR="00441413">
              <w:rPr>
                <w:rFonts w:ascii="Tahoma" w:hAnsi="Tahoma" w:cs="Tahoma"/>
                <w:color w:val="002060"/>
                <w:sz w:val="20"/>
                <w:szCs w:val="20"/>
              </w:rPr>
              <w:t>.</w:t>
            </w:r>
            <w:r>
              <w:rPr>
                <w:rFonts w:ascii="Tahoma" w:hAnsi="Tahoma" w:cs="Tahoma"/>
                <w:color w:val="002060"/>
                <w:sz w:val="20"/>
                <w:szCs w:val="20"/>
              </w:rPr>
              <w:t>6</w:t>
            </w:r>
          </w:p>
        </w:tc>
        <w:tc>
          <w:tcPr>
            <w:tcW w:w="1074" w:type="dxa"/>
            <w:tcBorders>
              <w:top w:val="nil"/>
              <w:left w:val="nil"/>
              <w:bottom w:val="single" w:sz="4" w:space="0" w:color="auto"/>
              <w:right w:val="single" w:sz="4" w:space="0" w:color="auto"/>
            </w:tcBorders>
            <w:shd w:val="clear" w:color="auto" w:fill="auto"/>
            <w:noWrap/>
            <w:vAlign w:val="bottom"/>
            <w:hideMark/>
          </w:tcPr>
          <w:p w14:paraId="50F2A659" w14:textId="77777777" w:rsidR="001C267A" w:rsidRDefault="00254622">
            <w:pPr>
              <w:jc w:val="right"/>
              <w:rPr>
                <w:rFonts w:ascii="Tahoma" w:hAnsi="Tahoma" w:cs="Tahoma"/>
                <w:color w:val="002060"/>
                <w:sz w:val="20"/>
                <w:szCs w:val="20"/>
              </w:rPr>
            </w:pPr>
            <w:r>
              <w:rPr>
                <w:rFonts w:ascii="Tahoma" w:hAnsi="Tahoma" w:cs="Tahoma"/>
                <w:color w:val="002060"/>
                <w:sz w:val="20"/>
                <w:szCs w:val="20"/>
              </w:rPr>
              <w:t>35</w:t>
            </w:r>
            <w:r w:rsidR="00441413">
              <w:rPr>
                <w:rFonts w:ascii="Tahoma" w:hAnsi="Tahoma" w:cs="Tahoma"/>
                <w:color w:val="002060"/>
                <w:sz w:val="20"/>
                <w:szCs w:val="20"/>
              </w:rPr>
              <w:t>.</w:t>
            </w:r>
            <w:r>
              <w:rPr>
                <w:rFonts w:ascii="Tahoma" w:hAnsi="Tahoma" w:cs="Tahoma"/>
                <w:color w:val="002060"/>
                <w:sz w:val="20"/>
                <w:szCs w:val="20"/>
              </w:rPr>
              <w:t>8</w:t>
            </w:r>
          </w:p>
        </w:tc>
        <w:tc>
          <w:tcPr>
            <w:tcW w:w="1560" w:type="dxa"/>
            <w:tcBorders>
              <w:top w:val="nil"/>
              <w:left w:val="nil"/>
              <w:bottom w:val="single" w:sz="4" w:space="0" w:color="auto"/>
              <w:right w:val="single" w:sz="4" w:space="0" w:color="auto"/>
            </w:tcBorders>
            <w:shd w:val="clear" w:color="auto" w:fill="auto"/>
            <w:noWrap/>
            <w:vAlign w:val="bottom"/>
            <w:hideMark/>
          </w:tcPr>
          <w:p w14:paraId="07E47D20"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6.8%</w:t>
            </w:r>
          </w:p>
        </w:tc>
      </w:tr>
      <w:tr w:rsidR="007A0DB0" w14:paraId="79609860"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305C4EF4"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RIDE-ON MOWERS (Consumer)</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4DAF9E" w14:textId="77777777" w:rsidR="001C267A" w:rsidRDefault="00254622">
            <w:pPr>
              <w:jc w:val="right"/>
              <w:rPr>
                <w:rFonts w:ascii="Tahoma" w:hAnsi="Tahoma" w:cs="Tahoma"/>
                <w:color w:val="002060"/>
                <w:sz w:val="20"/>
                <w:szCs w:val="20"/>
              </w:rPr>
            </w:pPr>
            <w:r>
              <w:rPr>
                <w:rFonts w:ascii="Tahoma" w:hAnsi="Tahoma" w:cs="Tahoma"/>
                <w:color w:val="002060"/>
                <w:sz w:val="20"/>
                <w:szCs w:val="20"/>
              </w:rPr>
              <w:t>6</w:t>
            </w:r>
            <w:r w:rsidR="00441413">
              <w:rPr>
                <w:rFonts w:ascii="Tahoma" w:hAnsi="Tahoma" w:cs="Tahoma"/>
                <w:color w:val="002060"/>
                <w:sz w:val="20"/>
                <w:szCs w:val="20"/>
              </w:rPr>
              <w:t>.</w:t>
            </w:r>
            <w:r>
              <w:rPr>
                <w:rFonts w:ascii="Tahoma" w:hAnsi="Tahoma" w:cs="Tahoma"/>
                <w:color w:val="002060"/>
                <w:sz w:val="20"/>
                <w:szCs w:val="20"/>
              </w:rPr>
              <w:t>7</w:t>
            </w:r>
          </w:p>
        </w:tc>
        <w:tc>
          <w:tcPr>
            <w:tcW w:w="1074" w:type="dxa"/>
            <w:tcBorders>
              <w:top w:val="nil"/>
              <w:left w:val="nil"/>
              <w:bottom w:val="single" w:sz="4" w:space="0" w:color="auto"/>
              <w:right w:val="single" w:sz="4" w:space="0" w:color="auto"/>
            </w:tcBorders>
            <w:shd w:val="clear" w:color="auto" w:fill="auto"/>
            <w:noWrap/>
            <w:vAlign w:val="bottom"/>
            <w:hideMark/>
          </w:tcPr>
          <w:p w14:paraId="1F573D75" w14:textId="77777777" w:rsidR="001C267A" w:rsidRDefault="00254622">
            <w:pPr>
              <w:jc w:val="right"/>
              <w:rPr>
                <w:rFonts w:ascii="Tahoma" w:hAnsi="Tahoma" w:cs="Tahoma"/>
                <w:color w:val="002060"/>
                <w:sz w:val="20"/>
                <w:szCs w:val="20"/>
              </w:rPr>
            </w:pPr>
            <w:r>
              <w:rPr>
                <w:rFonts w:ascii="Tahoma" w:hAnsi="Tahoma" w:cs="Tahoma"/>
                <w:color w:val="002060"/>
                <w:sz w:val="20"/>
                <w:szCs w:val="20"/>
              </w:rPr>
              <w:t>7</w:t>
            </w:r>
            <w:r w:rsidR="00441413">
              <w:rPr>
                <w:rFonts w:ascii="Tahoma" w:hAnsi="Tahoma" w:cs="Tahoma"/>
                <w:color w:val="002060"/>
                <w:sz w:val="20"/>
                <w:szCs w:val="20"/>
              </w:rPr>
              <w:t>.</w:t>
            </w:r>
            <w:r>
              <w:rPr>
                <w:rFonts w:ascii="Tahoma" w:hAnsi="Tahoma" w:cs="Tahoma"/>
                <w:color w:val="00206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14:paraId="70DD6B0C"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10.8%</w:t>
            </w:r>
          </w:p>
        </w:tc>
      </w:tr>
      <w:tr w:rsidR="007A0DB0" w14:paraId="0962C8D8"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09C2A62C"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RIDE-ON MOWERS (Commercial)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6D8CE0" w14:textId="77777777" w:rsidR="001C267A" w:rsidRDefault="00254622">
            <w:pPr>
              <w:jc w:val="right"/>
              <w:rPr>
                <w:rFonts w:ascii="Tahoma" w:hAnsi="Tahoma" w:cs="Tahoma"/>
                <w:color w:val="002060"/>
                <w:sz w:val="20"/>
                <w:szCs w:val="20"/>
              </w:rPr>
            </w:pPr>
            <w:r>
              <w:rPr>
                <w:rFonts w:ascii="Tahoma" w:hAnsi="Tahoma" w:cs="Tahoma"/>
                <w:color w:val="002060"/>
                <w:sz w:val="20"/>
                <w:szCs w:val="20"/>
              </w:rPr>
              <w:t>0</w:t>
            </w:r>
            <w:r w:rsidR="00441413">
              <w:rPr>
                <w:rFonts w:ascii="Tahoma" w:hAnsi="Tahoma" w:cs="Tahoma"/>
                <w:color w:val="002060"/>
                <w:sz w:val="20"/>
                <w:szCs w:val="20"/>
              </w:rPr>
              <w:t>.</w:t>
            </w:r>
            <w:r>
              <w:rPr>
                <w:rFonts w:ascii="Tahoma" w:hAnsi="Tahoma" w:cs="Tahoma"/>
                <w:color w:val="002060"/>
                <w:sz w:val="20"/>
                <w:szCs w:val="20"/>
              </w:rPr>
              <w:t>9</w:t>
            </w:r>
          </w:p>
        </w:tc>
        <w:tc>
          <w:tcPr>
            <w:tcW w:w="1074" w:type="dxa"/>
            <w:tcBorders>
              <w:top w:val="nil"/>
              <w:left w:val="nil"/>
              <w:bottom w:val="single" w:sz="4" w:space="0" w:color="auto"/>
              <w:right w:val="single" w:sz="4" w:space="0" w:color="auto"/>
            </w:tcBorders>
            <w:shd w:val="clear" w:color="auto" w:fill="auto"/>
            <w:noWrap/>
            <w:vAlign w:val="bottom"/>
            <w:hideMark/>
          </w:tcPr>
          <w:p w14:paraId="04C22B45" w14:textId="77777777" w:rsidR="001C267A" w:rsidRDefault="00254622">
            <w:pPr>
              <w:jc w:val="right"/>
              <w:rPr>
                <w:rFonts w:ascii="Tahoma" w:hAnsi="Tahoma" w:cs="Tahoma"/>
                <w:color w:val="002060"/>
                <w:sz w:val="20"/>
                <w:szCs w:val="20"/>
              </w:rPr>
            </w:pPr>
            <w:r>
              <w:rPr>
                <w:rFonts w:ascii="Tahoma" w:hAnsi="Tahoma" w:cs="Tahoma"/>
                <w:color w:val="002060"/>
                <w:sz w:val="20"/>
                <w:szCs w:val="20"/>
              </w:rPr>
              <w:t>0</w:t>
            </w:r>
            <w:r w:rsidR="00441413">
              <w:rPr>
                <w:rFonts w:ascii="Tahoma" w:hAnsi="Tahoma" w:cs="Tahoma"/>
                <w:color w:val="002060"/>
                <w:sz w:val="20"/>
                <w:szCs w:val="20"/>
              </w:rPr>
              <w:t>.</w:t>
            </w:r>
            <w:r>
              <w:rPr>
                <w:rFonts w:ascii="Tahoma" w:hAnsi="Tahoma" w:cs="Tahoma"/>
                <w:color w:val="002060"/>
                <w:sz w:val="20"/>
                <w:szCs w:val="20"/>
              </w:rPr>
              <w:t>9</w:t>
            </w:r>
          </w:p>
        </w:tc>
        <w:tc>
          <w:tcPr>
            <w:tcW w:w="1560" w:type="dxa"/>
            <w:tcBorders>
              <w:top w:val="nil"/>
              <w:left w:val="nil"/>
              <w:bottom w:val="single" w:sz="4" w:space="0" w:color="auto"/>
              <w:right w:val="single" w:sz="4" w:space="0" w:color="auto"/>
            </w:tcBorders>
            <w:shd w:val="clear" w:color="auto" w:fill="auto"/>
            <w:noWrap/>
            <w:vAlign w:val="bottom"/>
            <w:hideMark/>
          </w:tcPr>
          <w:p w14:paraId="2802AAE5"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0.1%</w:t>
            </w:r>
          </w:p>
        </w:tc>
      </w:tr>
      <w:tr w:rsidR="007A0DB0" w14:paraId="3E83099A"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2DBFBC0B"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BLOWERS/VACUUMS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9DC6F7" w14:textId="77777777" w:rsidR="001C267A" w:rsidRDefault="00254622">
            <w:pPr>
              <w:jc w:val="right"/>
              <w:rPr>
                <w:rFonts w:ascii="Tahoma" w:hAnsi="Tahoma" w:cs="Tahoma"/>
                <w:color w:val="002060"/>
                <w:sz w:val="20"/>
                <w:szCs w:val="20"/>
              </w:rPr>
            </w:pPr>
            <w:r>
              <w:rPr>
                <w:rFonts w:ascii="Tahoma" w:hAnsi="Tahoma" w:cs="Tahoma"/>
                <w:color w:val="002060"/>
                <w:sz w:val="20"/>
                <w:szCs w:val="20"/>
              </w:rPr>
              <w:t>152</w:t>
            </w:r>
            <w:r w:rsidR="00441413">
              <w:rPr>
                <w:rFonts w:ascii="Tahoma" w:hAnsi="Tahoma" w:cs="Tahoma"/>
                <w:color w:val="002060"/>
                <w:sz w:val="20"/>
                <w:szCs w:val="20"/>
              </w:rPr>
              <w:t>.</w:t>
            </w:r>
            <w:r>
              <w:rPr>
                <w:rFonts w:ascii="Tahoma" w:hAnsi="Tahoma" w:cs="Tahoma"/>
                <w:color w:val="002060"/>
                <w:sz w:val="20"/>
                <w:szCs w:val="20"/>
              </w:rPr>
              <w:t>8</w:t>
            </w:r>
          </w:p>
        </w:tc>
        <w:tc>
          <w:tcPr>
            <w:tcW w:w="1074" w:type="dxa"/>
            <w:tcBorders>
              <w:top w:val="nil"/>
              <w:left w:val="nil"/>
              <w:bottom w:val="single" w:sz="4" w:space="0" w:color="auto"/>
              <w:right w:val="single" w:sz="4" w:space="0" w:color="auto"/>
            </w:tcBorders>
            <w:shd w:val="clear" w:color="auto" w:fill="auto"/>
            <w:noWrap/>
            <w:vAlign w:val="bottom"/>
            <w:hideMark/>
          </w:tcPr>
          <w:p w14:paraId="52E6CAD2" w14:textId="77777777" w:rsidR="001C267A" w:rsidRDefault="00254622">
            <w:pPr>
              <w:jc w:val="right"/>
              <w:rPr>
                <w:rFonts w:ascii="Tahoma" w:hAnsi="Tahoma" w:cs="Tahoma"/>
                <w:color w:val="002060"/>
                <w:sz w:val="20"/>
                <w:szCs w:val="20"/>
              </w:rPr>
            </w:pPr>
            <w:r>
              <w:rPr>
                <w:rFonts w:ascii="Tahoma" w:hAnsi="Tahoma" w:cs="Tahoma"/>
                <w:color w:val="002060"/>
                <w:sz w:val="20"/>
                <w:szCs w:val="20"/>
              </w:rPr>
              <w:t>157</w:t>
            </w:r>
            <w:r w:rsidR="00441413">
              <w:rPr>
                <w:rFonts w:ascii="Tahoma" w:hAnsi="Tahoma" w:cs="Tahoma"/>
                <w:color w:val="002060"/>
                <w:sz w:val="20"/>
                <w:szCs w:val="20"/>
              </w:rPr>
              <w:t>.</w:t>
            </w:r>
            <w:r>
              <w:rPr>
                <w:rFonts w:ascii="Tahoma" w:hAnsi="Tahoma" w:cs="Tahoma"/>
                <w:color w:val="002060"/>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14:paraId="7AFFB300"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3.0%</w:t>
            </w:r>
          </w:p>
        </w:tc>
      </w:tr>
      <w:tr w:rsidR="007A0DB0" w14:paraId="22B50486"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44142380"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SNOW PLOWS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A2B513" w14:textId="77777777" w:rsidR="001C267A" w:rsidRDefault="00254622">
            <w:pPr>
              <w:jc w:val="right"/>
              <w:rPr>
                <w:rFonts w:ascii="Tahoma" w:hAnsi="Tahoma" w:cs="Tahoma"/>
                <w:color w:val="002060"/>
                <w:sz w:val="20"/>
                <w:szCs w:val="20"/>
              </w:rPr>
            </w:pPr>
            <w:r>
              <w:rPr>
                <w:rFonts w:ascii="Tahoma" w:hAnsi="Tahoma" w:cs="Tahoma"/>
                <w:color w:val="002060"/>
                <w:sz w:val="20"/>
                <w:szCs w:val="20"/>
              </w:rPr>
              <w:t>2</w:t>
            </w:r>
            <w:r w:rsidR="00441413">
              <w:rPr>
                <w:rFonts w:ascii="Tahoma" w:hAnsi="Tahoma" w:cs="Tahoma"/>
                <w:color w:val="002060"/>
                <w:sz w:val="20"/>
                <w:szCs w:val="20"/>
              </w:rPr>
              <w:t>.</w:t>
            </w:r>
            <w:r>
              <w:rPr>
                <w:rFonts w:ascii="Tahoma" w:hAnsi="Tahoma" w:cs="Tahoma"/>
                <w:color w:val="00206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24096FFF" w14:textId="77777777" w:rsidR="001C267A" w:rsidRDefault="00254622">
            <w:pPr>
              <w:jc w:val="right"/>
              <w:rPr>
                <w:rFonts w:ascii="Tahoma" w:hAnsi="Tahoma" w:cs="Tahoma"/>
                <w:color w:val="002060"/>
                <w:sz w:val="20"/>
                <w:szCs w:val="20"/>
              </w:rPr>
            </w:pPr>
            <w:r>
              <w:rPr>
                <w:rFonts w:ascii="Tahoma" w:hAnsi="Tahoma" w:cs="Tahoma"/>
                <w:color w:val="002060"/>
                <w:sz w:val="20"/>
                <w:szCs w:val="20"/>
              </w:rPr>
              <w:t>1</w:t>
            </w:r>
            <w:r w:rsidR="00441413">
              <w:rPr>
                <w:rFonts w:ascii="Tahoma" w:hAnsi="Tahoma" w:cs="Tahoma"/>
                <w:color w:val="002060"/>
                <w:sz w:val="20"/>
                <w:szCs w:val="20"/>
              </w:rPr>
              <w:t>.</w:t>
            </w:r>
            <w:r>
              <w:rPr>
                <w:rFonts w:ascii="Tahoma" w:hAnsi="Tahoma" w:cs="Tahoma"/>
                <w:color w:val="00206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14:paraId="191A582A"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-37.8%</w:t>
            </w:r>
          </w:p>
        </w:tc>
      </w:tr>
      <w:tr w:rsidR="007A0DB0" w14:paraId="5D5E87E9"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157B442D"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HEDGE TRIMMERS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F32E5E" w14:textId="77777777" w:rsidR="001C267A" w:rsidRDefault="00254622">
            <w:pPr>
              <w:jc w:val="right"/>
              <w:rPr>
                <w:rFonts w:ascii="Tahoma" w:hAnsi="Tahoma" w:cs="Tahoma"/>
                <w:color w:val="002060"/>
                <w:sz w:val="20"/>
                <w:szCs w:val="20"/>
              </w:rPr>
            </w:pPr>
            <w:r>
              <w:rPr>
                <w:rFonts w:ascii="Tahoma" w:hAnsi="Tahoma" w:cs="Tahoma"/>
                <w:color w:val="002060"/>
                <w:sz w:val="20"/>
                <w:szCs w:val="20"/>
              </w:rPr>
              <w:t>107</w:t>
            </w:r>
            <w:r w:rsidR="00441413">
              <w:rPr>
                <w:rFonts w:ascii="Tahoma" w:hAnsi="Tahoma" w:cs="Tahoma"/>
                <w:color w:val="002060"/>
                <w:sz w:val="20"/>
                <w:szCs w:val="20"/>
              </w:rPr>
              <w:t>.</w:t>
            </w:r>
            <w:r>
              <w:rPr>
                <w:rFonts w:ascii="Tahoma" w:hAnsi="Tahoma" w:cs="Tahoma"/>
                <w:color w:val="002060"/>
                <w:sz w:val="20"/>
                <w:szCs w:val="20"/>
              </w:rPr>
              <w:t>1</w:t>
            </w:r>
          </w:p>
        </w:tc>
        <w:tc>
          <w:tcPr>
            <w:tcW w:w="1074" w:type="dxa"/>
            <w:tcBorders>
              <w:top w:val="nil"/>
              <w:left w:val="nil"/>
              <w:bottom w:val="single" w:sz="4" w:space="0" w:color="auto"/>
              <w:right w:val="single" w:sz="4" w:space="0" w:color="auto"/>
            </w:tcBorders>
            <w:shd w:val="clear" w:color="auto" w:fill="auto"/>
            <w:noWrap/>
            <w:vAlign w:val="bottom"/>
            <w:hideMark/>
          </w:tcPr>
          <w:p w14:paraId="70469294" w14:textId="77777777" w:rsidR="001C267A" w:rsidRDefault="00254622">
            <w:pPr>
              <w:jc w:val="right"/>
              <w:rPr>
                <w:rFonts w:ascii="Tahoma" w:hAnsi="Tahoma" w:cs="Tahoma"/>
                <w:color w:val="002060"/>
                <w:sz w:val="20"/>
                <w:szCs w:val="20"/>
              </w:rPr>
            </w:pPr>
            <w:r>
              <w:rPr>
                <w:rFonts w:ascii="Tahoma" w:hAnsi="Tahoma" w:cs="Tahoma"/>
                <w:color w:val="002060"/>
                <w:sz w:val="20"/>
                <w:szCs w:val="20"/>
              </w:rPr>
              <w:t>119</w:t>
            </w:r>
            <w:r w:rsidR="00441413">
              <w:rPr>
                <w:rFonts w:ascii="Tahoma" w:hAnsi="Tahoma" w:cs="Tahoma"/>
                <w:color w:val="002060"/>
                <w:sz w:val="20"/>
                <w:szCs w:val="20"/>
              </w:rPr>
              <w:t>.</w:t>
            </w:r>
            <w:r>
              <w:rPr>
                <w:rFonts w:ascii="Tahoma" w:hAnsi="Tahoma" w:cs="Tahoma"/>
                <w:color w:val="002060"/>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14:paraId="5E722E13"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11.4%</w:t>
            </w:r>
          </w:p>
        </w:tc>
      </w:tr>
      <w:tr w:rsidR="007A0DB0" w14:paraId="37FF2DFC"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0E90DCE6"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 xml:space="preserve">TRACTORS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6772291" w14:textId="77777777" w:rsidR="001C267A" w:rsidRDefault="00254622">
            <w:pPr>
              <w:jc w:val="right"/>
              <w:rPr>
                <w:rFonts w:ascii="Tahoma" w:hAnsi="Tahoma" w:cs="Tahoma"/>
                <w:color w:val="002060"/>
                <w:sz w:val="20"/>
                <w:szCs w:val="20"/>
              </w:rPr>
            </w:pPr>
            <w:r>
              <w:rPr>
                <w:rFonts w:ascii="Tahoma" w:hAnsi="Tahoma" w:cs="Tahoma"/>
                <w:color w:val="002060"/>
                <w:sz w:val="20"/>
                <w:szCs w:val="20"/>
              </w:rPr>
              <w:t>21</w:t>
            </w:r>
            <w:r w:rsidR="00441413">
              <w:rPr>
                <w:rFonts w:ascii="Tahoma" w:hAnsi="Tahoma" w:cs="Tahoma"/>
                <w:color w:val="002060"/>
                <w:sz w:val="20"/>
                <w:szCs w:val="20"/>
              </w:rPr>
              <w:t>.</w:t>
            </w:r>
            <w:r>
              <w:rPr>
                <w:rFonts w:ascii="Tahoma" w:hAnsi="Tahoma" w:cs="Tahoma"/>
                <w:color w:val="00206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03760BAA" w14:textId="77777777" w:rsidR="001C267A" w:rsidRDefault="00254622">
            <w:pPr>
              <w:jc w:val="right"/>
              <w:rPr>
                <w:rFonts w:ascii="Tahoma" w:hAnsi="Tahoma" w:cs="Tahoma"/>
                <w:color w:val="002060"/>
                <w:sz w:val="20"/>
                <w:szCs w:val="20"/>
              </w:rPr>
            </w:pPr>
            <w:r>
              <w:rPr>
                <w:rFonts w:ascii="Tahoma" w:hAnsi="Tahoma" w:cs="Tahoma"/>
                <w:color w:val="002060"/>
                <w:sz w:val="20"/>
                <w:szCs w:val="20"/>
              </w:rPr>
              <w:t>24</w:t>
            </w:r>
            <w:r w:rsidR="00441413">
              <w:rPr>
                <w:rFonts w:ascii="Tahoma" w:hAnsi="Tahoma" w:cs="Tahoma"/>
                <w:color w:val="002060"/>
                <w:sz w:val="20"/>
                <w:szCs w:val="20"/>
              </w:rPr>
              <w:t>.</w:t>
            </w:r>
            <w:r>
              <w:rPr>
                <w:rFonts w:ascii="Tahoma" w:hAnsi="Tahoma" w:cs="Tahoma"/>
                <w:color w:val="002060"/>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14:paraId="62AA3D51"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14.6%</w:t>
            </w:r>
          </w:p>
        </w:tc>
      </w:tr>
      <w:tr w:rsidR="007A0DB0" w14:paraId="7C0C1D30"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5393E30E"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 xml:space="preserve">ZERO TURN (Consumer)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7A6700" w14:textId="77777777" w:rsidR="001C267A" w:rsidRDefault="00254622">
            <w:pPr>
              <w:jc w:val="right"/>
              <w:rPr>
                <w:rFonts w:ascii="Tahoma" w:hAnsi="Tahoma" w:cs="Tahoma"/>
                <w:color w:val="002060"/>
                <w:sz w:val="20"/>
                <w:szCs w:val="20"/>
              </w:rPr>
            </w:pPr>
            <w:r>
              <w:rPr>
                <w:rFonts w:ascii="Tahoma" w:hAnsi="Tahoma" w:cs="Tahoma"/>
                <w:color w:val="002060"/>
                <w:sz w:val="20"/>
                <w:szCs w:val="20"/>
              </w:rPr>
              <w:t>1</w:t>
            </w:r>
            <w:r w:rsidR="00441413">
              <w:rPr>
                <w:rFonts w:ascii="Tahoma" w:hAnsi="Tahoma" w:cs="Tahoma"/>
                <w:color w:val="002060"/>
                <w:sz w:val="20"/>
                <w:szCs w:val="20"/>
              </w:rPr>
              <w:t>.</w:t>
            </w:r>
            <w:r>
              <w:rPr>
                <w:rFonts w:ascii="Tahoma" w:hAnsi="Tahoma" w:cs="Tahoma"/>
                <w:color w:val="002060"/>
                <w:sz w:val="20"/>
                <w:szCs w:val="20"/>
              </w:rPr>
              <w:t>6</w:t>
            </w:r>
          </w:p>
        </w:tc>
        <w:tc>
          <w:tcPr>
            <w:tcW w:w="1074" w:type="dxa"/>
            <w:tcBorders>
              <w:top w:val="nil"/>
              <w:left w:val="nil"/>
              <w:bottom w:val="single" w:sz="4" w:space="0" w:color="auto"/>
              <w:right w:val="single" w:sz="4" w:space="0" w:color="auto"/>
            </w:tcBorders>
            <w:shd w:val="clear" w:color="auto" w:fill="auto"/>
            <w:noWrap/>
            <w:vAlign w:val="bottom"/>
            <w:hideMark/>
          </w:tcPr>
          <w:p w14:paraId="51CE5FD0" w14:textId="77777777" w:rsidR="001C267A" w:rsidRDefault="00254622">
            <w:pPr>
              <w:jc w:val="right"/>
              <w:rPr>
                <w:rFonts w:ascii="Tahoma" w:hAnsi="Tahoma" w:cs="Tahoma"/>
                <w:color w:val="002060"/>
                <w:sz w:val="20"/>
                <w:szCs w:val="20"/>
              </w:rPr>
            </w:pPr>
            <w:r>
              <w:rPr>
                <w:rFonts w:ascii="Tahoma" w:hAnsi="Tahoma" w:cs="Tahoma"/>
                <w:color w:val="002060"/>
                <w:sz w:val="20"/>
                <w:szCs w:val="20"/>
              </w:rPr>
              <w:t>1</w:t>
            </w:r>
            <w:r w:rsidR="00441413">
              <w:rPr>
                <w:rFonts w:ascii="Tahoma" w:hAnsi="Tahoma" w:cs="Tahoma"/>
                <w:color w:val="002060"/>
                <w:sz w:val="20"/>
                <w:szCs w:val="20"/>
              </w:rPr>
              <w:t>.</w:t>
            </w:r>
            <w:r>
              <w:rPr>
                <w:rFonts w:ascii="Tahoma" w:hAnsi="Tahoma" w:cs="Tahoma"/>
                <w:color w:val="00206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14:paraId="753E8F4B"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-5.9%</w:t>
            </w:r>
          </w:p>
        </w:tc>
      </w:tr>
      <w:tr w:rsidR="007A0DB0" w14:paraId="19916138" w14:textId="77777777" w:rsidTr="001C267A">
        <w:trPr>
          <w:trHeight w:val="300"/>
        </w:trPr>
        <w:tc>
          <w:tcPr>
            <w:tcW w:w="3870" w:type="dxa"/>
            <w:tcBorders>
              <w:top w:val="nil"/>
              <w:left w:val="single" w:sz="4" w:space="0" w:color="auto"/>
              <w:bottom w:val="single" w:sz="4" w:space="0" w:color="auto"/>
              <w:right w:val="nil"/>
            </w:tcBorders>
            <w:shd w:val="clear" w:color="auto" w:fill="auto"/>
            <w:noWrap/>
            <w:vAlign w:val="bottom"/>
            <w:hideMark/>
          </w:tcPr>
          <w:p w14:paraId="77C8BED5"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ZERO TURN (Commercial)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4DF015" w14:textId="77777777" w:rsidR="001C267A" w:rsidRDefault="00254622">
            <w:pPr>
              <w:jc w:val="right"/>
              <w:rPr>
                <w:rFonts w:ascii="Tahoma" w:hAnsi="Tahoma" w:cs="Tahoma"/>
                <w:color w:val="002060"/>
                <w:sz w:val="20"/>
                <w:szCs w:val="20"/>
              </w:rPr>
            </w:pPr>
            <w:r>
              <w:rPr>
                <w:rFonts w:ascii="Tahoma" w:hAnsi="Tahoma" w:cs="Tahoma"/>
                <w:color w:val="002060"/>
                <w:sz w:val="20"/>
                <w:szCs w:val="20"/>
              </w:rPr>
              <w:t>0</w:t>
            </w:r>
            <w:r w:rsidR="00441413">
              <w:rPr>
                <w:rFonts w:ascii="Tahoma" w:hAnsi="Tahoma" w:cs="Tahoma"/>
                <w:color w:val="002060"/>
                <w:sz w:val="20"/>
                <w:szCs w:val="20"/>
              </w:rPr>
              <w:t>.</w:t>
            </w:r>
            <w:r>
              <w:rPr>
                <w:rFonts w:ascii="Tahoma" w:hAnsi="Tahoma" w:cs="Tahoma"/>
                <w:color w:val="002060"/>
                <w:sz w:val="20"/>
                <w:szCs w:val="20"/>
              </w:rPr>
              <w:t>6</w:t>
            </w:r>
          </w:p>
        </w:tc>
        <w:tc>
          <w:tcPr>
            <w:tcW w:w="1074" w:type="dxa"/>
            <w:tcBorders>
              <w:top w:val="nil"/>
              <w:left w:val="nil"/>
              <w:bottom w:val="single" w:sz="4" w:space="0" w:color="auto"/>
              <w:right w:val="single" w:sz="4" w:space="0" w:color="auto"/>
            </w:tcBorders>
            <w:shd w:val="clear" w:color="auto" w:fill="auto"/>
            <w:noWrap/>
            <w:vAlign w:val="bottom"/>
            <w:hideMark/>
          </w:tcPr>
          <w:p w14:paraId="28003577" w14:textId="77777777" w:rsidR="001C267A" w:rsidRDefault="00254622">
            <w:pPr>
              <w:jc w:val="right"/>
              <w:rPr>
                <w:rFonts w:ascii="Tahoma" w:hAnsi="Tahoma" w:cs="Tahoma"/>
                <w:color w:val="002060"/>
                <w:sz w:val="20"/>
                <w:szCs w:val="20"/>
              </w:rPr>
            </w:pPr>
            <w:r>
              <w:rPr>
                <w:rFonts w:ascii="Tahoma" w:hAnsi="Tahoma" w:cs="Tahoma"/>
                <w:color w:val="002060"/>
                <w:sz w:val="20"/>
                <w:szCs w:val="20"/>
              </w:rPr>
              <w:t>0</w:t>
            </w:r>
            <w:r w:rsidR="00441413">
              <w:rPr>
                <w:rFonts w:ascii="Tahoma" w:hAnsi="Tahoma" w:cs="Tahoma"/>
                <w:color w:val="002060"/>
                <w:sz w:val="20"/>
                <w:szCs w:val="20"/>
              </w:rPr>
              <w:t>.</w:t>
            </w:r>
            <w:r>
              <w:rPr>
                <w:rFonts w:ascii="Tahoma" w:hAnsi="Tahoma" w:cs="Tahoma"/>
                <w:color w:val="002060"/>
                <w:sz w:val="20"/>
                <w:szCs w:val="20"/>
              </w:rPr>
              <w:t>6</w:t>
            </w:r>
          </w:p>
        </w:tc>
        <w:tc>
          <w:tcPr>
            <w:tcW w:w="1560" w:type="dxa"/>
            <w:tcBorders>
              <w:top w:val="nil"/>
              <w:left w:val="nil"/>
              <w:bottom w:val="single" w:sz="4" w:space="0" w:color="auto"/>
              <w:right w:val="single" w:sz="4" w:space="0" w:color="auto"/>
            </w:tcBorders>
            <w:shd w:val="clear" w:color="auto" w:fill="auto"/>
            <w:noWrap/>
            <w:vAlign w:val="bottom"/>
            <w:hideMark/>
          </w:tcPr>
          <w:p w14:paraId="2B0FD5FF" w14:textId="77777777" w:rsidR="001C267A" w:rsidRDefault="00254622">
            <w:pPr>
              <w:jc w:val="right"/>
              <w:rPr>
                <w:rFonts w:ascii="Tahoma" w:hAnsi="Tahoma" w:cs="Tahoma"/>
                <w:color w:val="002060"/>
                <w:sz w:val="20"/>
                <w:szCs w:val="20"/>
              </w:rPr>
            </w:pPr>
            <w:r>
              <w:rPr>
                <w:rFonts w:ascii="Tahoma" w:eastAsia="Tahoma" w:hAnsi="Tahoma" w:cs="Tahoma"/>
                <w:color w:val="002060"/>
                <w:sz w:val="20"/>
                <w:szCs w:val="20"/>
                <w:bdr w:val="nil"/>
                <w:lang w:val="en-US"/>
              </w:rPr>
              <w:t>0.2%</w:t>
            </w:r>
          </w:p>
        </w:tc>
      </w:tr>
      <w:tr w:rsidR="007A0DB0" w14:paraId="1494E441" w14:textId="77777777" w:rsidTr="001C267A">
        <w:trPr>
          <w:trHeight w:val="300"/>
        </w:trPr>
        <w:tc>
          <w:tcPr>
            <w:tcW w:w="3870" w:type="dxa"/>
            <w:tcBorders>
              <w:top w:val="nil"/>
              <w:left w:val="single" w:sz="4" w:space="0" w:color="auto"/>
              <w:bottom w:val="single" w:sz="4" w:space="0" w:color="auto"/>
              <w:right w:val="nil"/>
            </w:tcBorders>
            <w:shd w:val="clear" w:color="000000" w:fill="C6E0B4"/>
            <w:noWrap/>
            <w:vAlign w:val="center"/>
            <w:hideMark/>
          </w:tcPr>
          <w:p w14:paraId="794B630D" w14:textId="77777777" w:rsidR="001C267A" w:rsidRDefault="00254622">
            <w:pPr>
              <w:rPr>
                <w:rFonts w:ascii="Tahoma" w:hAnsi="Tahoma" w:cs="Tahoma"/>
                <w:b/>
                <w:bCs/>
                <w:color w:val="203764"/>
                <w:sz w:val="20"/>
                <w:szCs w:val="20"/>
              </w:rPr>
            </w:pPr>
            <w:r>
              <w:rPr>
                <w:rFonts w:ascii="Tahoma" w:eastAsia="Tahoma" w:hAnsi="Tahoma" w:cs="Tahoma"/>
                <w:b/>
                <w:bCs/>
                <w:color w:val="203764"/>
                <w:sz w:val="20"/>
                <w:szCs w:val="20"/>
                <w:bdr w:val="nil"/>
                <w:lang w:val="en-US"/>
              </w:rPr>
              <w:t>TOTAL MORGAN</w:t>
            </w:r>
          </w:p>
        </w:tc>
        <w:tc>
          <w:tcPr>
            <w:tcW w:w="1276" w:type="dxa"/>
            <w:tcBorders>
              <w:top w:val="nil"/>
              <w:left w:val="single" w:sz="4" w:space="0" w:color="auto"/>
              <w:bottom w:val="single" w:sz="4" w:space="0" w:color="auto"/>
              <w:right w:val="single" w:sz="4" w:space="0" w:color="auto"/>
            </w:tcBorders>
            <w:shd w:val="clear" w:color="000000" w:fill="C6E0B4"/>
            <w:noWrap/>
            <w:vAlign w:val="bottom"/>
            <w:hideMark/>
          </w:tcPr>
          <w:p w14:paraId="5C23F563" w14:textId="77777777" w:rsidR="001C267A" w:rsidRDefault="00254622" w:rsidP="00441413">
            <w:pPr>
              <w:jc w:val="right"/>
              <w:rPr>
                <w:rFonts w:ascii="Tahoma" w:hAnsi="Tahoma" w:cs="Tahoma"/>
                <w:b/>
                <w:bCs/>
                <w:color w:val="002060"/>
                <w:sz w:val="20"/>
                <w:szCs w:val="20"/>
              </w:rPr>
            </w:pPr>
            <w:r>
              <w:rPr>
                <w:rFonts w:ascii="Tahoma" w:hAnsi="Tahoma" w:cs="Tahoma"/>
                <w:b/>
                <w:bCs/>
                <w:color w:val="002060"/>
                <w:sz w:val="20"/>
                <w:szCs w:val="20"/>
              </w:rPr>
              <w:t>1</w:t>
            </w:r>
            <w:r w:rsidR="00441413">
              <w:rPr>
                <w:rFonts w:ascii="Tahoma" w:hAnsi="Tahoma" w:cs="Tahoma"/>
                <w:b/>
                <w:bCs/>
                <w:color w:val="002060"/>
                <w:sz w:val="20"/>
                <w:szCs w:val="20"/>
              </w:rPr>
              <w:t>,</w:t>
            </w:r>
            <w:r>
              <w:rPr>
                <w:rFonts w:ascii="Tahoma" w:hAnsi="Tahoma" w:cs="Tahoma"/>
                <w:b/>
                <w:bCs/>
                <w:color w:val="002060"/>
                <w:sz w:val="20"/>
                <w:szCs w:val="20"/>
              </w:rPr>
              <w:t>350</w:t>
            </w:r>
            <w:r w:rsidR="00441413">
              <w:rPr>
                <w:rFonts w:ascii="Tahoma" w:hAnsi="Tahoma" w:cs="Tahoma"/>
                <w:b/>
                <w:bCs/>
                <w:color w:val="002060"/>
                <w:sz w:val="20"/>
                <w:szCs w:val="20"/>
              </w:rPr>
              <w:t>.</w:t>
            </w:r>
            <w:r>
              <w:rPr>
                <w:rFonts w:ascii="Tahoma" w:hAnsi="Tahoma" w:cs="Tahoma"/>
                <w:b/>
                <w:bCs/>
                <w:color w:val="002060"/>
                <w:sz w:val="20"/>
                <w:szCs w:val="20"/>
              </w:rPr>
              <w:t>5</w:t>
            </w:r>
          </w:p>
        </w:tc>
        <w:tc>
          <w:tcPr>
            <w:tcW w:w="1074" w:type="dxa"/>
            <w:tcBorders>
              <w:top w:val="nil"/>
              <w:left w:val="nil"/>
              <w:bottom w:val="single" w:sz="4" w:space="0" w:color="auto"/>
              <w:right w:val="single" w:sz="4" w:space="0" w:color="auto"/>
            </w:tcBorders>
            <w:shd w:val="clear" w:color="000000" w:fill="C6E0B4"/>
            <w:noWrap/>
            <w:vAlign w:val="bottom"/>
            <w:hideMark/>
          </w:tcPr>
          <w:p w14:paraId="6A89C6FB" w14:textId="77777777" w:rsidR="001C267A" w:rsidRDefault="00254622" w:rsidP="00441413">
            <w:pPr>
              <w:jc w:val="right"/>
              <w:rPr>
                <w:rFonts w:ascii="Tahoma" w:hAnsi="Tahoma" w:cs="Tahoma"/>
                <w:b/>
                <w:bCs/>
                <w:color w:val="002060"/>
                <w:sz w:val="20"/>
                <w:szCs w:val="20"/>
              </w:rPr>
            </w:pPr>
            <w:r>
              <w:rPr>
                <w:rFonts w:ascii="Tahoma" w:hAnsi="Tahoma" w:cs="Tahoma"/>
                <w:b/>
                <w:bCs/>
                <w:color w:val="002060"/>
                <w:sz w:val="20"/>
                <w:szCs w:val="20"/>
              </w:rPr>
              <w:t>1</w:t>
            </w:r>
            <w:r w:rsidR="00441413">
              <w:rPr>
                <w:rFonts w:ascii="Tahoma" w:hAnsi="Tahoma" w:cs="Tahoma"/>
                <w:b/>
                <w:bCs/>
                <w:color w:val="002060"/>
                <w:sz w:val="20"/>
                <w:szCs w:val="20"/>
              </w:rPr>
              <w:t>,</w:t>
            </w:r>
            <w:r>
              <w:rPr>
                <w:rFonts w:ascii="Tahoma" w:hAnsi="Tahoma" w:cs="Tahoma"/>
                <w:b/>
                <w:bCs/>
                <w:color w:val="002060"/>
                <w:sz w:val="20"/>
                <w:szCs w:val="20"/>
              </w:rPr>
              <w:t>370</w:t>
            </w:r>
            <w:r w:rsidR="00441413">
              <w:rPr>
                <w:rFonts w:ascii="Tahoma" w:hAnsi="Tahoma" w:cs="Tahoma"/>
                <w:b/>
                <w:bCs/>
                <w:color w:val="002060"/>
                <w:sz w:val="20"/>
                <w:szCs w:val="20"/>
              </w:rPr>
              <w:t>.</w:t>
            </w:r>
            <w:r>
              <w:rPr>
                <w:rFonts w:ascii="Tahoma" w:hAnsi="Tahoma" w:cs="Tahoma"/>
                <w:b/>
                <w:bCs/>
                <w:color w:val="002060"/>
                <w:sz w:val="20"/>
                <w:szCs w:val="20"/>
              </w:rPr>
              <w:t>2</w:t>
            </w:r>
          </w:p>
        </w:tc>
        <w:tc>
          <w:tcPr>
            <w:tcW w:w="1560" w:type="dxa"/>
            <w:tcBorders>
              <w:top w:val="single" w:sz="4" w:space="0" w:color="333F4F"/>
              <w:left w:val="single" w:sz="4" w:space="0" w:color="333F4F"/>
              <w:bottom w:val="single" w:sz="4" w:space="0" w:color="auto"/>
              <w:right w:val="single" w:sz="4" w:space="0" w:color="333F4F"/>
            </w:tcBorders>
            <w:shd w:val="clear" w:color="000000" w:fill="C6E0B4"/>
            <w:vAlign w:val="center"/>
            <w:hideMark/>
          </w:tcPr>
          <w:p w14:paraId="42A37A3A" w14:textId="77777777" w:rsidR="001C267A" w:rsidRDefault="00254622">
            <w:pPr>
              <w:jc w:val="right"/>
              <w:rPr>
                <w:rFonts w:ascii="Tahoma" w:hAnsi="Tahoma" w:cs="Tahoma"/>
                <w:b/>
                <w:bCs/>
                <w:color w:val="002060"/>
                <w:sz w:val="20"/>
                <w:szCs w:val="20"/>
              </w:rPr>
            </w:pPr>
            <w:r>
              <w:rPr>
                <w:rFonts w:ascii="Tahoma" w:eastAsia="Tahoma" w:hAnsi="Tahoma" w:cs="Tahoma"/>
                <w:b/>
                <w:bCs/>
                <w:color w:val="002060"/>
                <w:sz w:val="20"/>
                <w:szCs w:val="20"/>
                <w:bdr w:val="nil"/>
                <w:lang w:val="en-US"/>
              </w:rPr>
              <w:t>1.5%</w:t>
            </w:r>
          </w:p>
        </w:tc>
      </w:tr>
      <w:tr w:rsidR="007A0DB0" w14:paraId="43F0F149" w14:textId="77777777" w:rsidTr="001C267A">
        <w:trPr>
          <w:trHeight w:val="300"/>
        </w:trPr>
        <w:tc>
          <w:tcPr>
            <w:tcW w:w="3870" w:type="dxa"/>
            <w:tcBorders>
              <w:top w:val="nil"/>
              <w:left w:val="nil"/>
              <w:bottom w:val="nil"/>
              <w:right w:val="nil"/>
            </w:tcBorders>
            <w:shd w:val="clear" w:color="auto" w:fill="auto"/>
            <w:noWrap/>
            <w:vAlign w:val="bottom"/>
            <w:hideMark/>
          </w:tcPr>
          <w:p w14:paraId="2F055BA5" w14:textId="77777777" w:rsidR="001C267A" w:rsidRDefault="001C267A">
            <w:pPr>
              <w:jc w:val="right"/>
              <w:rPr>
                <w:rFonts w:ascii="Tahoma" w:hAnsi="Tahoma" w:cs="Tahoma"/>
                <w:b/>
                <w:bCs/>
                <w:color w:val="002060"/>
                <w:sz w:val="20"/>
                <w:szCs w:val="20"/>
              </w:rPr>
            </w:pPr>
          </w:p>
        </w:tc>
        <w:tc>
          <w:tcPr>
            <w:tcW w:w="1276" w:type="dxa"/>
            <w:tcBorders>
              <w:top w:val="nil"/>
              <w:left w:val="nil"/>
              <w:bottom w:val="nil"/>
              <w:right w:val="nil"/>
            </w:tcBorders>
            <w:shd w:val="clear" w:color="auto" w:fill="auto"/>
            <w:noWrap/>
            <w:vAlign w:val="bottom"/>
            <w:hideMark/>
          </w:tcPr>
          <w:p w14:paraId="7B998E19" w14:textId="77777777" w:rsidR="001C267A" w:rsidRDefault="001C267A">
            <w:pPr>
              <w:rPr>
                <w:sz w:val="20"/>
                <w:szCs w:val="20"/>
              </w:rPr>
            </w:pPr>
          </w:p>
        </w:tc>
        <w:tc>
          <w:tcPr>
            <w:tcW w:w="1074" w:type="dxa"/>
            <w:tcBorders>
              <w:top w:val="nil"/>
              <w:left w:val="nil"/>
              <w:bottom w:val="nil"/>
              <w:right w:val="nil"/>
            </w:tcBorders>
            <w:shd w:val="clear" w:color="auto" w:fill="auto"/>
            <w:noWrap/>
            <w:vAlign w:val="bottom"/>
            <w:hideMark/>
          </w:tcPr>
          <w:p w14:paraId="4CED4806" w14:textId="77777777" w:rsidR="001C267A" w:rsidRDefault="001C267A">
            <w:pPr>
              <w:rPr>
                <w:sz w:val="20"/>
                <w:szCs w:val="20"/>
              </w:rPr>
            </w:pPr>
          </w:p>
        </w:tc>
        <w:tc>
          <w:tcPr>
            <w:tcW w:w="1560" w:type="dxa"/>
            <w:tcBorders>
              <w:top w:val="nil"/>
              <w:left w:val="nil"/>
              <w:bottom w:val="nil"/>
              <w:right w:val="nil"/>
            </w:tcBorders>
            <w:shd w:val="clear" w:color="auto" w:fill="auto"/>
            <w:noWrap/>
            <w:vAlign w:val="bottom"/>
            <w:hideMark/>
          </w:tcPr>
          <w:p w14:paraId="45F0DA3B" w14:textId="77777777" w:rsidR="001C267A" w:rsidRDefault="001C267A">
            <w:pPr>
              <w:rPr>
                <w:sz w:val="20"/>
                <w:szCs w:val="20"/>
              </w:rPr>
            </w:pPr>
          </w:p>
        </w:tc>
      </w:tr>
      <w:tr w:rsidR="007A0DB0" w:rsidRPr="009D4710" w14:paraId="026B0665" w14:textId="77777777" w:rsidTr="001C267A">
        <w:trPr>
          <w:trHeight w:val="615"/>
        </w:trPr>
        <w:tc>
          <w:tcPr>
            <w:tcW w:w="7780" w:type="dxa"/>
            <w:gridSpan w:val="4"/>
            <w:tcBorders>
              <w:top w:val="nil"/>
              <w:left w:val="nil"/>
              <w:bottom w:val="nil"/>
              <w:right w:val="nil"/>
            </w:tcBorders>
            <w:shd w:val="clear" w:color="auto" w:fill="auto"/>
            <w:hideMark/>
          </w:tcPr>
          <w:p w14:paraId="0D654DEC" w14:textId="77777777" w:rsidR="001C267A" w:rsidRPr="00441413" w:rsidRDefault="00254622">
            <w:pPr>
              <w:rPr>
                <w:rFonts w:ascii="Arial" w:hAnsi="Arial" w:cs="Arial"/>
                <w:b/>
                <w:bCs/>
                <w:color w:val="2F5597"/>
                <w:lang w:val="en-US"/>
              </w:rPr>
            </w:pPr>
            <w:r>
              <w:rPr>
                <w:rFonts w:ascii="Arial" w:eastAsia="Arial" w:hAnsi="Arial" w:cs="Arial"/>
                <w:b/>
                <w:bCs/>
                <w:color w:val="2F5597"/>
                <w:bdr w:val="nil"/>
                <w:lang w:val="en-US"/>
              </w:rPr>
              <w:t>Estimate of the total Italian market based on sample survey data</w:t>
            </w:r>
          </w:p>
        </w:tc>
      </w:tr>
    </w:tbl>
    <w:p w14:paraId="5EE0F1E2" w14:textId="77777777" w:rsidR="001C267A" w:rsidRPr="00441413" w:rsidRDefault="001C267A" w:rsidP="00F10F7F">
      <w:pPr>
        <w:ind w:left="142"/>
        <w:jc w:val="both"/>
        <w:rPr>
          <w:b/>
          <w:bCs/>
          <w:i/>
          <w:iCs/>
          <w:sz w:val="28"/>
          <w:szCs w:val="28"/>
          <w:lang w:val="en-US"/>
        </w:rPr>
      </w:pPr>
    </w:p>
    <w:p w14:paraId="76AC56D9" w14:textId="77777777" w:rsidR="001C267A" w:rsidRPr="00441413" w:rsidRDefault="001C267A" w:rsidP="00F10F7F">
      <w:pPr>
        <w:ind w:left="142"/>
        <w:jc w:val="both"/>
        <w:rPr>
          <w:b/>
          <w:bCs/>
          <w:i/>
          <w:iCs/>
          <w:lang w:val="en-US"/>
        </w:rPr>
      </w:pPr>
    </w:p>
    <w:p w14:paraId="4C8CBB51" w14:textId="77777777" w:rsidR="00AB75D0" w:rsidRDefault="00AB75D0" w:rsidP="00AB75D0">
      <w:pPr>
        <w:ind w:left="284"/>
        <w:rPr>
          <w:lang w:val="en-GB"/>
        </w:rPr>
      </w:pPr>
    </w:p>
    <w:sectPr w:rsidR="00AB75D0" w:rsidSect="00671FCB">
      <w:headerReference w:type="default" r:id="rId7"/>
      <w:footerReference w:type="default" r:id="rId8"/>
      <w:headerReference w:type="first" r:id="rId9"/>
      <w:footerReference w:type="first" r:id="rId10"/>
      <w:type w:val="continuous"/>
      <w:pgSz w:w="11906" w:h="16838" w:code="9"/>
      <w:pgMar w:top="1644" w:right="851" w:bottom="851" w:left="3119"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A6D8" w14:textId="77777777" w:rsidR="002129B3" w:rsidRDefault="002129B3">
      <w:r>
        <w:separator/>
      </w:r>
    </w:p>
  </w:endnote>
  <w:endnote w:type="continuationSeparator" w:id="0">
    <w:p w14:paraId="2BB17680" w14:textId="77777777" w:rsidR="002129B3" w:rsidRDefault="0021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45724"/>
      <w:docPartObj>
        <w:docPartGallery w:val="Page Numbers (Bottom of Page)"/>
        <w:docPartUnique/>
      </w:docPartObj>
    </w:sdtPr>
    <w:sdtContent>
      <w:p w14:paraId="1E0B513E" w14:textId="77777777" w:rsidR="00FB5178" w:rsidRDefault="00254622">
        <w:pPr>
          <w:pStyle w:val="Pidipagina"/>
          <w:jc w:val="right"/>
        </w:pPr>
        <w:r>
          <w:fldChar w:fldCharType="begin"/>
        </w:r>
        <w:r>
          <w:instrText>PAGE   \* MERGEFORMAT</w:instrText>
        </w:r>
        <w:r>
          <w:fldChar w:fldCharType="separate"/>
        </w:r>
        <w:r w:rsidR="00441413">
          <w:rPr>
            <w:noProof/>
          </w:rPr>
          <w:t>2</w:t>
        </w:r>
        <w:r>
          <w:fldChar w:fldCharType="end"/>
        </w:r>
      </w:p>
    </w:sdtContent>
  </w:sdt>
  <w:p w14:paraId="33386D79" w14:textId="77777777" w:rsidR="00FB5178" w:rsidRDefault="00FB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109771"/>
      <w:docPartObj>
        <w:docPartGallery w:val="Page Numbers (Bottom of Page)"/>
        <w:docPartUnique/>
      </w:docPartObj>
    </w:sdtPr>
    <w:sdtContent>
      <w:p w14:paraId="5F2C6CE0" w14:textId="77777777" w:rsidR="007B69C5" w:rsidRDefault="00254622">
        <w:pPr>
          <w:pStyle w:val="Pidipagina"/>
          <w:jc w:val="center"/>
        </w:pPr>
        <w:r>
          <w:fldChar w:fldCharType="begin"/>
        </w:r>
        <w:r>
          <w:instrText>PAGE   \* MERGEFORMAT</w:instrText>
        </w:r>
        <w:r>
          <w:fldChar w:fldCharType="separate"/>
        </w:r>
        <w:r w:rsidR="00441413">
          <w:rPr>
            <w:noProof/>
          </w:rPr>
          <w:t>1</w:t>
        </w:r>
        <w:r>
          <w:fldChar w:fldCharType="end"/>
        </w:r>
      </w:p>
    </w:sdtContent>
  </w:sdt>
  <w:p w14:paraId="4659A3EB" w14:textId="77777777" w:rsidR="007B69C5" w:rsidRDefault="007B69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25FA" w14:textId="77777777" w:rsidR="002129B3" w:rsidRDefault="002129B3">
      <w:r>
        <w:separator/>
      </w:r>
    </w:p>
  </w:footnote>
  <w:footnote w:type="continuationSeparator" w:id="0">
    <w:p w14:paraId="75200E68" w14:textId="77777777" w:rsidR="002129B3" w:rsidRDefault="0021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EC9" w14:textId="77777777" w:rsidR="001D171A" w:rsidRPr="001D171A" w:rsidRDefault="00254622" w:rsidP="001D171A">
    <w:pPr>
      <w:pStyle w:val="Intestazione"/>
    </w:pPr>
    <w:r>
      <w:rPr>
        <w:noProof/>
        <w:lang w:val="en-US" w:eastAsia="en-US"/>
      </w:rPr>
      <w:drawing>
        <wp:anchor distT="0" distB="0" distL="114300" distR="114300" simplePos="0" relativeHeight="251658240" behindDoc="1" locked="0" layoutInCell="1" allowOverlap="1" wp14:anchorId="15C7AED5" wp14:editId="288ACF3D">
          <wp:simplePos x="0" y="0"/>
          <wp:positionH relativeFrom="column">
            <wp:posOffset>-1970517</wp:posOffset>
          </wp:positionH>
          <wp:positionV relativeFrom="paragraph">
            <wp:posOffset>-1</wp:posOffset>
          </wp:positionV>
          <wp:extent cx="7536264" cy="10664345"/>
          <wp:effectExtent l="0" t="0" r="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66662" name="Immagine 3"/>
                  <pic:cNvPicPr/>
                </pic:nvPicPr>
                <pic:blipFill>
                  <a:blip r:embed="rId1"/>
                  <a:stretch>
                    <a:fillRect/>
                  </a:stretch>
                </pic:blipFill>
                <pic:spPr>
                  <a:xfrm>
                    <a:off x="0" y="0"/>
                    <a:ext cx="7551820" cy="106863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3644" w14:textId="77777777" w:rsidR="00AB75D0" w:rsidRDefault="00254622" w:rsidP="00AB75D0">
    <w:pPr>
      <w:pStyle w:val="Intestazione"/>
      <w:ind w:left="-3119"/>
      <w:jc w:val="right"/>
    </w:pPr>
    <w:r>
      <w:rPr>
        <w:noProof/>
        <w:lang w:val="en-US" w:eastAsia="en-US"/>
      </w:rPr>
      <w:drawing>
        <wp:anchor distT="0" distB="0" distL="114300" distR="114300" simplePos="0" relativeHeight="251659264" behindDoc="1" locked="0" layoutInCell="1" allowOverlap="1" wp14:anchorId="703D10ED" wp14:editId="71BF5605">
          <wp:simplePos x="0" y="0"/>
          <wp:positionH relativeFrom="column">
            <wp:posOffset>-1960469</wp:posOffset>
          </wp:positionH>
          <wp:positionV relativeFrom="paragraph">
            <wp:posOffset>0</wp:posOffset>
          </wp:positionV>
          <wp:extent cx="7536263" cy="10664344"/>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22931" name="Immagine 4"/>
                  <pic:cNvPicPr/>
                </pic:nvPicPr>
                <pic:blipFill>
                  <a:blip r:embed="rId1"/>
                  <a:stretch>
                    <a:fillRect/>
                  </a:stretch>
                </pic:blipFill>
                <pic:spPr>
                  <a:xfrm>
                    <a:off x="0" y="0"/>
                    <a:ext cx="7553229" cy="10688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5C"/>
    <w:rsid w:val="00013646"/>
    <w:rsid w:val="000B65F8"/>
    <w:rsid w:val="001C267A"/>
    <w:rsid w:val="001D171A"/>
    <w:rsid w:val="002129B3"/>
    <w:rsid w:val="00254622"/>
    <w:rsid w:val="00320137"/>
    <w:rsid w:val="003C26BF"/>
    <w:rsid w:val="00432239"/>
    <w:rsid w:val="00441413"/>
    <w:rsid w:val="00450354"/>
    <w:rsid w:val="00495ABA"/>
    <w:rsid w:val="00496B4A"/>
    <w:rsid w:val="00497577"/>
    <w:rsid w:val="005264F5"/>
    <w:rsid w:val="005A21BD"/>
    <w:rsid w:val="005B6A28"/>
    <w:rsid w:val="005D0296"/>
    <w:rsid w:val="00671FCB"/>
    <w:rsid w:val="0069500B"/>
    <w:rsid w:val="007A0DB0"/>
    <w:rsid w:val="007B69C5"/>
    <w:rsid w:val="00813857"/>
    <w:rsid w:val="008514F9"/>
    <w:rsid w:val="008E0760"/>
    <w:rsid w:val="009B4A19"/>
    <w:rsid w:val="009D4710"/>
    <w:rsid w:val="00A12983"/>
    <w:rsid w:val="00A21047"/>
    <w:rsid w:val="00A221EB"/>
    <w:rsid w:val="00AB75D0"/>
    <w:rsid w:val="00B10785"/>
    <w:rsid w:val="00B35D60"/>
    <w:rsid w:val="00B9433D"/>
    <w:rsid w:val="00BE6422"/>
    <w:rsid w:val="00C2561C"/>
    <w:rsid w:val="00C2774E"/>
    <w:rsid w:val="00CA3840"/>
    <w:rsid w:val="00CC15A7"/>
    <w:rsid w:val="00D16D5C"/>
    <w:rsid w:val="00E111F6"/>
    <w:rsid w:val="00E1323A"/>
    <w:rsid w:val="00E269F9"/>
    <w:rsid w:val="00EF52B1"/>
    <w:rsid w:val="00F10F7F"/>
    <w:rsid w:val="00F875E1"/>
    <w:rsid w:val="00F913F5"/>
    <w:rsid w:val="00FB5178"/>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6D9A2"/>
  <w15:docId w15:val="{D878AED9-774D-4A02-A8D7-1D0CD8E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7B69C5"/>
    <w:rPr>
      <w:sz w:val="24"/>
      <w:szCs w:val="24"/>
    </w:rPr>
  </w:style>
  <w:style w:type="character" w:styleId="Collegamentoipertestuale">
    <w:name w:val="Hyperlink"/>
    <w:basedOn w:val="Carpredefinitoparagrafo"/>
    <w:rsid w:val="00EF52B1"/>
    <w:rPr>
      <w:color w:val="0563C1" w:themeColor="hyperlink"/>
      <w:u w:val="single"/>
    </w:rPr>
  </w:style>
  <w:style w:type="character" w:customStyle="1" w:styleId="Menzionenonrisolta1">
    <w:name w:val="Menzione non risolta1"/>
    <w:basedOn w:val="Carpredefinitoparagrafo"/>
    <w:uiPriority w:val="99"/>
    <w:semiHidden/>
    <w:unhideWhenUsed/>
    <w:rsid w:val="00EF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2748-6BB3-4C22-A3C3-1961BA0A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ruggieri poggi</dc:creator>
  <cp:lastModifiedBy>Patrizia Menicucci</cp:lastModifiedBy>
  <cp:revision>2</cp:revision>
  <cp:lastPrinted>2009-02-16T14:19:00Z</cp:lastPrinted>
  <dcterms:created xsi:type="dcterms:W3CDTF">2025-03-12T12:20:00Z</dcterms:created>
  <dcterms:modified xsi:type="dcterms:W3CDTF">2025-03-12T12:20:00Z</dcterms:modified>
</cp:coreProperties>
</file>